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jc w:val="center"/>
        <w:rPr>
          <w:rFonts w:hint="eastAsia"/>
          <w:b/>
          <w:bCs/>
          <w:sz w:val="48"/>
          <w:szCs w:val="48"/>
        </w:rPr>
      </w:pPr>
      <w:r>
        <w:rPr>
          <w:rFonts w:hint="eastAsia"/>
          <w:b/>
          <w:bCs/>
          <w:sz w:val="48"/>
          <w:szCs w:val="48"/>
        </w:rPr>
      </w:r>
      <w:r/>
    </w:p>
    <w:p>
      <w:pPr>
        <w:pStyle w:val="729"/>
        <w:jc w:val="center"/>
        <w:rPr>
          <w:b/>
          <w:bCs/>
          <w:sz w:val="44"/>
          <w:szCs w:val="44"/>
        </w:rPr>
      </w:pPr>
      <w:r>
        <w:rPr>
          <w:rFonts w:hint="eastAsia"/>
          <w:b/>
          <w:bCs/>
          <w:sz w:val="44"/>
          <w:szCs w:val="44"/>
        </w:rPr>
        <w:t xml:space="preserve">武进区2025年应急生活物资和地震地质</w:t>
      </w:r>
      <w:r>
        <w:rPr>
          <w:b/>
          <w:bCs/>
          <w:sz w:val="44"/>
          <w:szCs w:val="44"/>
        </w:rPr>
      </w:r>
      <w:r/>
    </w:p>
    <w:p>
      <w:pPr>
        <w:pStyle w:val="729"/>
        <w:jc w:val="center"/>
        <w:rPr>
          <w:rFonts w:hint="eastAsia"/>
          <w:b/>
          <w:bCs/>
          <w:sz w:val="44"/>
          <w:szCs w:val="44"/>
        </w:rPr>
      </w:pPr>
      <w:r>
        <w:rPr>
          <w:rFonts w:hint="eastAsia"/>
          <w:b/>
          <w:bCs/>
          <w:sz w:val="44"/>
          <w:szCs w:val="44"/>
        </w:rPr>
        <w:t xml:space="preserve">灾害物资采购</w:t>
      </w:r>
      <w:r/>
    </w:p>
    <w:p>
      <w:pPr>
        <w:pStyle w:val="729"/>
        <w:spacing w:line="360" w:lineRule="auto"/>
        <w:rPr>
          <w:rFonts w:hint="eastAsia" w:ascii="宋体" w:hAnsi="宋体"/>
          <w:b/>
          <w:sz w:val="72"/>
          <w:szCs w:val="72"/>
        </w:rPr>
      </w:pPr>
      <w:r>
        <w:rPr>
          <w:rFonts w:hint="eastAsia" w:ascii="宋体" w:hAnsi="宋体"/>
          <w:b/>
          <w:sz w:val="72"/>
          <w:szCs w:val="72"/>
        </w:rPr>
      </w:r>
      <w:r/>
    </w:p>
    <w:p>
      <w:pPr>
        <w:pStyle w:val="729"/>
        <w:spacing w:line="360" w:lineRule="auto"/>
        <w:rPr>
          <w:rFonts w:hint="eastAsia" w:ascii="宋体" w:hAnsi="宋体"/>
          <w:b/>
          <w:sz w:val="72"/>
          <w:szCs w:val="72"/>
        </w:rPr>
      </w:pPr>
      <w:r>
        <w:rPr>
          <w:rFonts w:hint="eastAsia" w:ascii="宋体" w:hAnsi="宋体"/>
          <w:b/>
          <w:sz w:val="72"/>
          <w:szCs w:val="72"/>
        </w:rPr>
      </w:r>
      <w:r/>
    </w:p>
    <w:p>
      <w:pPr>
        <w:pStyle w:val="729"/>
        <w:jc w:val="center"/>
        <w:spacing w:line="360" w:lineRule="auto"/>
        <w:rPr>
          <w:rFonts w:ascii="宋体" w:hAnsi="宋体"/>
          <w:b/>
          <w:sz w:val="72"/>
          <w:szCs w:val="72"/>
        </w:rPr>
      </w:pPr>
      <w:r>
        <w:rPr>
          <w:rFonts w:hint="eastAsia" w:ascii="宋体" w:hAnsi="宋体"/>
          <w:b/>
          <w:sz w:val="72"/>
          <w:szCs w:val="72"/>
        </w:rPr>
        <w:t xml:space="preserve">公 开 招 标</w:t>
      </w:r>
      <w:r>
        <w:rPr>
          <w:rFonts w:ascii="宋体" w:hAnsi="宋体"/>
          <w:b/>
          <w:sz w:val="72"/>
          <w:szCs w:val="72"/>
        </w:rPr>
      </w:r>
      <w:r/>
    </w:p>
    <w:p>
      <w:pPr>
        <w:pStyle w:val="729"/>
        <w:jc w:val="center"/>
        <w:spacing w:line="360" w:lineRule="auto"/>
        <w:rPr>
          <w:rFonts w:ascii="宋体" w:hAnsi="宋体"/>
          <w:b/>
          <w:sz w:val="72"/>
          <w:szCs w:val="72"/>
        </w:rPr>
      </w:pPr>
      <w:r>
        <w:rPr>
          <w:rFonts w:hint="eastAsia" w:ascii="宋体" w:hAnsi="宋体"/>
          <w:b/>
          <w:sz w:val="72"/>
          <w:szCs w:val="72"/>
        </w:rPr>
        <w:t xml:space="preserve">采 购 文 件</w:t>
      </w:r>
      <w:r>
        <w:rPr>
          <w:rFonts w:ascii="宋体" w:hAnsi="宋体"/>
          <w:b/>
          <w:sz w:val="72"/>
          <w:szCs w:val="72"/>
        </w:rPr>
      </w:r>
      <w:r/>
    </w:p>
    <w:p>
      <w:pPr>
        <w:pStyle w:val="729"/>
        <w:jc w:val="center"/>
        <w:rPr>
          <w:b/>
          <w:bCs/>
          <w:sz w:val="60"/>
          <w:szCs w:val="60"/>
        </w:rPr>
      </w:pPr>
      <w:r>
        <w:rPr>
          <w:b/>
          <w:bCs/>
          <w:sz w:val="60"/>
          <w:szCs w:val="60"/>
        </w:rPr>
      </w:r>
      <w:r/>
    </w:p>
    <w:p>
      <w:pPr>
        <w:pStyle w:val="729"/>
        <w:jc w:val="center"/>
        <w:rPr>
          <w:b/>
          <w:bCs/>
          <w:sz w:val="60"/>
          <w:szCs w:val="60"/>
        </w:rPr>
      </w:pPr>
      <w:r>
        <w:rPr>
          <w:b/>
          <w:bCs/>
          <w:sz w:val="60"/>
          <w:szCs w:val="60"/>
        </w:rPr>
      </w:r>
      <w:r/>
    </w:p>
    <w:p>
      <w:pPr>
        <w:pStyle w:val="729"/>
        <w:spacing w:line="360" w:lineRule="auto"/>
        <w:rPr>
          <w:sz w:val="60"/>
          <w:szCs w:val="60"/>
        </w:rPr>
      </w:pPr>
      <w:r>
        <w:rPr>
          <w:sz w:val="60"/>
          <w:szCs w:val="60"/>
        </w:rPr>
      </w:r>
      <w:r/>
    </w:p>
    <w:p>
      <w:pPr>
        <w:pStyle w:val="729"/>
        <w:ind w:firstLine="1606"/>
        <w:spacing w:line="360" w:lineRule="auto"/>
        <w:tabs>
          <w:tab w:val="left" w:pos="5609" w:leader="none"/>
        </w:tabs>
        <w:rPr>
          <w:rFonts w:hint="eastAsia" w:ascii="宋体" w:hAnsi="宋体" w:cs="楷体"/>
          <w:b/>
          <w:sz w:val="32"/>
          <w:szCs w:val="32"/>
        </w:rPr>
      </w:pPr>
      <w:r>
        <w:rPr>
          <w:rFonts w:hint="eastAsia" w:ascii="宋体" w:hAnsi="宋体" w:cs="楷体"/>
          <w:b/>
          <w:sz w:val="32"/>
          <w:szCs w:val="32"/>
        </w:rPr>
        <w:t xml:space="preserve">项目编号：</w:t>
      </w:r>
      <w:r>
        <w:rPr>
          <w:rFonts w:ascii="宋体" w:hAnsi="宋体" w:cs="楷体"/>
          <w:b/>
          <w:sz w:val="32"/>
          <w:szCs w:val="32"/>
        </w:rPr>
        <w:t xml:space="preserve">JSZC-320412-</w:t>
      </w:r>
      <w:r>
        <w:rPr>
          <w:rFonts w:hint="eastAsia" w:ascii="宋体" w:hAnsi="宋体" w:cs="楷体"/>
          <w:b/>
          <w:sz w:val="32"/>
          <w:szCs w:val="32"/>
        </w:rPr>
        <w:t xml:space="preserve">JJJC</w:t>
      </w:r>
      <w:r>
        <w:rPr>
          <w:rFonts w:ascii="宋体" w:hAnsi="宋体" w:cs="楷体"/>
          <w:b/>
          <w:sz w:val="32"/>
          <w:szCs w:val="32"/>
        </w:rPr>
        <w:t xml:space="preserve">-G202</w:t>
      </w:r>
      <w:r>
        <w:rPr>
          <w:rFonts w:hint="eastAsia" w:ascii="宋体" w:hAnsi="宋体" w:cs="楷体"/>
          <w:b/>
          <w:sz w:val="32"/>
          <w:szCs w:val="32"/>
        </w:rPr>
        <w:t xml:space="preserve">5</w:t>
      </w:r>
      <w:r>
        <w:rPr>
          <w:rFonts w:ascii="宋体" w:hAnsi="宋体" w:cs="楷体"/>
          <w:b/>
          <w:sz w:val="32"/>
          <w:szCs w:val="32"/>
        </w:rPr>
        <w:t xml:space="preserve">-00</w:t>
      </w:r>
      <w:r>
        <w:rPr>
          <w:rFonts w:hint="eastAsia" w:ascii="宋体" w:hAnsi="宋体" w:cs="楷体"/>
          <w:b/>
          <w:sz w:val="32"/>
          <w:szCs w:val="32"/>
        </w:rPr>
        <w:t xml:space="preserve">54</w:t>
      </w:r>
      <w:r>
        <w:rPr>
          <w:rFonts w:hint="eastAsia" w:ascii="宋体" w:hAnsi="宋体" w:cs="楷体"/>
          <w:b/>
          <w:sz w:val="32"/>
          <w:szCs w:val="32"/>
        </w:rPr>
      </w:r>
      <w:r/>
    </w:p>
    <w:p>
      <w:pPr>
        <w:pStyle w:val="729"/>
        <w:ind w:left="3202" w:hanging="1606"/>
        <w:spacing w:line="360" w:lineRule="auto"/>
        <w:tabs>
          <w:tab w:val="left" w:pos="5609" w:leader="none"/>
        </w:tabs>
        <w:rPr>
          <w:rFonts w:ascii="宋体" w:hAnsi="宋体" w:cs="楷体"/>
          <w:b/>
          <w:sz w:val="32"/>
          <w:szCs w:val="32"/>
        </w:rPr>
      </w:pPr>
      <w:r>
        <w:rPr>
          <w:rFonts w:hint="eastAsia" w:ascii="宋体" w:hAnsi="宋体" w:cs="楷体"/>
          <w:b/>
          <w:sz w:val="32"/>
          <w:szCs w:val="32"/>
        </w:rPr>
        <w:t xml:space="preserve">项目名称：武进区2025年应急生活物资和地震地质</w:t>
      </w:r>
      <w:r>
        <w:rPr>
          <w:rFonts w:ascii="宋体" w:hAnsi="宋体" w:cs="楷体"/>
          <w:b/>
          <w:sz w:val="32"/>
          <w:szCs w:val="32"/>
        </w:rPr>
      </w:r>
      <w:r/>
    </w:p>
    <w:p>
      <w:pPr>
        <w:pStyle w:val="729"/>
        <w:ind w:left="2646" w:firstLine="643"/>
        <w:spacing w:line="360" w:lineRule="auto"/>
        <w:tabs>
          <w:tab w:val="left" w:pos="5609" w:leader="none"/>
        </w:tabs>
        <w:rPr>
          <w:rFonts w:hint="eastAsia" w:ascii="宋体" w:hAnsi="宋体" w:cs="楷体"/>
          <w:b/>
          <w:sz w:val="32"/>
          <w:szCs w:val="32"/>
        </w:rPr>
      </w:pPr>
      <w:r>
        <w:rPr>
          <w:rFonts w:hint="eastAsia" w:ascii="宋体" w:hAnsi="宋体" w:cs="楷体"/>
          <w:b/>
          <w:sz w:val="32"/>
          <w:szCs w:val="32"/>
        </w:rPr>
        <w:t xml:space="preserve">灾害物资采购</w:t>
      </w:r>
      <w:r/>
    </w:p>
    <w:p>
      <w:pPr>
        <w:pStyle w:val="729"/>
        <w:ind w:firstLine="1606"/>
        <w:spacing w:line="360" w:lineRule="auto"/>
        <w:tabs>
          <w:tab w:val="left" w:pos="5609" w:leader="none"/>
        </w:tabs>
        <w:rPr>
          <w:rFonts w:hint="eastAsia" w:ascii="宋体" w:hAnsi="宋体" w:cs="楷体"/>
          <w:b/>
          <w:sz w:val="32"/>
          <w:szCs w:val="32"/>
        </w:rPr>
      </w:pPr>
      <w:r>
        <w:rPr>
          <w:rFonts w:hint="eastAsia" w:ascii="宋体" w:hAnsi="宋体" w:cs="楷体"/>
          <w:b/>
          <w:sz w:val="32"/>
          <w:szCs w:val="32"/>
        </w:rPr>
        <w:t xml:space="preserve">采 购 人：常州市武进区发展和改革局</w:t>
      </w:r>
      <w:r/>
    </w:p>
    <w:p>
      <w:pPr>
        <w:pStyle w:val="729"/>
        <w:jc w:val="center"/>
        <w:spacing w:line="360" w:lineRule="auto"/>
        <w:tabs>
          <w:tab w:val="left" w:pos="3240" w:leader="none"/>
          <w:tab w:val="left" w:pos="3420" w:leader="none"/>
        </w:tabs>
        <w:rPr>
          <w:rFonts w:hint="eastAsia" w:ascii="宋体" w:hAnsi="宋体" w:cs="楷体"/>
          <w:b/>
          <w:sz w:val="32"/>
          <w:szCs w:val="32"/>
        </w:rPr>
      </w:pPr>
      <w:r>
        <w:rPr>
          <w:rFonts w:hint="eastAsia" w:ascii="宋体" w:hAnsi="宋体" w:cs="楷体"/>
          <w:b/>
          <w:sz w:val="32"/>
          <w:szCs w:val="32"/>
        </w:rPr>
        <w:t xml:space="preserve">    采购代理机构：</w:t>
      </w:r>
      <w:bookmarkStart w:id="0" w:name="_Hlk211341696"/>
      <w:r>
        <w:rPr>
          <w:rFonts w:hint="eastAsia" w:ascii="宋体" w:hAnsi="宋体" w:cs="楷体"/>
          <w:b/>
          <w:sz w:val="32"/>
          <w:szCs w:val="32"/>
        </w:rPr>
        <w:t xml:space="preserve">江苏嘉加诚工程投资咨询有限公司</w:t>
      </w:r>
      <w:bookmarkEnd w:id="0"/>
      <w:r>
        <w:rPr>
          <w:rFonts w:hint="eastAsia" w:ascii="宋体" w:hAnsi="宋体" w:cs="楷体"/>
          <w:b/>
          <w:sz w:val="32"/>
          <w:szCs w:val="32"/>
        </w:rPr>
      </w:r>
      <w:r/>
    </w:p>
    <w:p>
      <w:pPr>
        <w:pStyle w:val="729"/>
        <w:ind w:left="2628" w:hanging="1696"/>
        <w:jc w:val="left"/>
        <w:spacing w:line="360" w:lineRule="auto"/>
        <w:tabs>
          <w:tab w:val="left" w:pos="3240" w:leader="none"/>
          <w:tab w:val="left" w:pos="3420" w:leader="none"/>
        </w:tabs>
        <w:rPr>
          <w:bCs/>
          <w:sz w:val="36"/>
          <w:szCs w:val="36"/>
        </w:rPr>
      </w:pPr>
      <w:r>
        <w:rPr>
          <w:rFonts w:ascii="Arial" w:hAnsi="Arial"/>
          <w:b/>
          <w:bCs/>
          <w:color w:val="ff0000"/>
          <w:sz w:val="32"/>
        </w:rPr>
        <w:t xml:space="preserve"> </w:t>
      </w:r>
      <w:r>
        <w:rPr>
          <w:bCs/>
          <w:sz w:val="36"/>
          <w:szCs w:val="36"/>
        </w:rPr>
      </w:r>
      <w:r/>
    </w:p>
    <w:p>
      <w:pPr>
        <w:pStyle w:val="729"/>
        <w:jc w:val="center"/>
        <w:spacing w:line="360" w:lineRule="auto"/>
        <w:rPr>
          <w:rFonts w:hint="eastAsia"/>
          <w:b/>
          <w:sz w:val="36"/>
          <w:szCs w:val="36"/>
        </w:rPr>
        <w:outlineLvl w:val="0"/>
      </w:pPr>
      <w:r>
        <w:rPr>
          <w:b/>
          <w:bCs/>
          <w:sz w:val="44"/>
        </w:rPr>
        <w:br w:type="page" w:clear="all"/>
      </w:r>
      <w:bookmarkStart w:id="1" w:name="_Toc99301418"/>
      <w:r>
        <w:rPr>
          <w:b/>
          <w:sz w:val="36"/>
          <w:szCs w:val="36"/>
        </w:rPr>
        <w:t xml:space="preserve">目      录</w:t>
      </w:r>
      <w:bookmarkEnd w:id="1"/>
      <w:r>
        <w:rPr>
          <w:rFonts w:hint="eastAsia"/>
          <w:b/>
          <w:sz w:val="36"/>
          <w:szCs w:val="36"/>
        </w:rPr>
      </w:r>
      <w:r/>
    </w:p>
    <w:p>
      <w:pPr>
        <w:pStyle w:val="780"/>
        <w:spacing w:line="360" w:lineRule="auto"/>
        <w:rPr>
          <w:rFonts w:ascii="Calibri" w:hAnsi="Calibri"/>
          <w:b w:val="0"/>
          <w:sz w:val="21"/>
          <w:szCs w:val="22"/>
        </w:rPr>
      </w:pPr>
      <w:r>
        <w:rPr>
          <w:rFonts w:ascii="Calibri" w:hAnsi="Calibri"/>
          <w:b w:val="0"/>
          <w:sz w:val="21"/>
          <w:szCs w:val="22"/>
        </w:rPr>
      </w:r>
      <w:r/>
    </w:p>
    <w:p>
      <w:pPr>
        <w:pStyle w:val="780"/>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29"/>
        <w:rPr>
          <w:rFonts w:hint="eastAsia"/>
        </w:rPr>
      </w:pPr>
      <w:r>
        <w:rPr>
          <w:rFonts w:hint="eastAsia"/>
        </w:rPr>
      </w:r>
      <w:r/>
    </w:p>
    <w:p>
      <w:pPr>
        <w:pStyle w:val="729"/>
        <w:numPr>
          <w:ilvl w:val="0"/>
          <w:numId w:val="8"/>
        </w:numPr>
        <w:rPr>
          <w:b/>
          <w:bCs/>
          <w:sz w:val="30"/>
          <w:szCs w:val="30"/>
        </w:rPr>
      </w:pPr>
      <w:r>
        <w:rPr>
          <w:rFonts w:hint="eastAsia"/>
          <w:b/>
          <w:bCs/>
          <w:sz w:val="30"/>
          <w:szCs w:val="30"/>
        </w:rPr>
        <w:t xml:space="preserve"> 投标人须知</w:t>
      </w:r>
      <w:r>
        <w:rPr>
          <w:b/>
          <w:bCs/>
          <w:sz w:val="30"/>
          <w:szCs w:val="30"/>
        </w:rPr>
      </w:r>
      <w:r/>
    </w:p>
    <w:p>
      <w:pPr>
        <w:pStyle w:val="807"/>
      </w:pPr>
      <w:r/>
      <w:r/>
    </w:p>
    <w:p>
      <w:pPr>
        <w:pStyle w:val="807"/>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80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07"/>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80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07"/>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80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807"/>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807"/>
        <w:rPr>
          <w:rFonts w:hint="eastAsia" w:ascii="Times New Roman" w:hAnsi="Times New Roman" w:cs="Times New Roman"/>
          <w:b/>
          <w:bCs/>
          <w:sz w:val="30"/>
          <w:szCs w:val="30"/>
        </w:rPr>
      </w:pPr>
      <w:r>
        <w:rPr>
          <w:rFonts w:hint="eastAsia" w:ascii="Times New Roman" w:hAnsi="Times New Roman" w:cs="Times New Roman"/>
          <w:b/>
          <w:bCs/>
          <w:sz w:val="30"/>
          <w:szCs w:val="30"/>
        </w:rPr>
      </w:r>
      <w:r/>
    </w:p>
    <w:p>
      <w:pPr>
        <w:pStyle w:val="729"/>
        <w:widowControl/>
        <w:rPr>
          <w:b/>
          <w:bCs/>
          <w:color w:val="000000"/>
          <w:sz w:val="30"/>
          <w:szCs w:val="30"/>
        </w:rPr>
      </w:pPr>
      <w:r>
        <w:rPr>
          <w:rFonts w:hint="eastAsia"/>
          <w:b/>
          <w:bCs/>
          <w:sz w:val="30"/>
          <w:szCs w:val="30"/>
        </w:rPr>
        <w:t xml:space="preserve">第七章  </w:t>
      </w:r>
      <w:r>
        <w:rPr>
          <w:rFonts w:hint="eastAsia"/>
          <w:b/>
          <w:bCs/>
          <w:color w:val="000000"/>
          <w:sz w:val="30"/>
          <w:szCs w:val="30"/>
        </w:rPr>
        <w:t xml:space="preserve">投标文件的组成及提交</w:t>
      </w:r>
      <w:r>
        <w:rPr>
          <w:rFonts w:hint="eastAsia"/>
          <w:b/>
          <w:bCs/>
          <w:color w:val="000000"/>
          <w:sz w:val="30"/>
          <w:szCs w:val="30"/>
        </w:rPr>
        <w:t xml:space="preserve">须知</w:t>
      </w:r>
      <w:r>
        <w:rPr>
          <w:b/>
          <w:bCs/>
          <w:color w:val="000000"/>
          <w:sz w:val="30"/>
          <w:szCs w:val="30"/>
        </w:rPr>
      </w:r>
      <w:r/>
    </w:p>
    <w:p>
      <w:pPr>
        <w:pStyle w:val="807"/>
      </w:pPr>
      <w:r/>
      <w:r/>
    </w:p>
    <w:p>
      <w:pPr>
        <w:pStyle w:val="807"/>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rPr>
          <w:rFonts w:ascii="Times New Roman" w:hAnsi="Times New Roman" w:cs="Times New Roman"/>
          <w:b/>
          <w:bCs/>
          <w:sz w:val="30"/>
          <w:szCs w:val="30"/>
        </w:rPr>
      </w:r>
      <w:r/>
    </w:p>
    <w:p>
      <w:pPr>
        <w:pStyle w:val="807"/>
        <w:spacing w:line="360" w:lineRule="auto"/>
      </w:pPr>
      <w:r/>
      <w:r/>
    </w:p>
    <w:p>
      <w:pPr>
        <w:pStyle w:val="729"/>
        <w:jc w:val="center"/>
        <w:spacing w:line="360" w:lineRule="auto"/>
        <w:rPr>
          <w:b/>
          <w:sz w:val="36"/>
          <w:szCs w:val="36"/>
        </w:rPr>
        <w:outlineLvl w:val="0"/>
      </w:pPr>
      <w:r>
        <w:rPr>
          <w:sz w:val="24"/>
        </w:rPr>
        <w:br w:type="page" w:clear="all"/>
      </w:r>
      <w:bookmarkStart w:id="2" w:name="_Toc99301419"/>
      <w:r>
        <w:rPr>
          <w:b/>
          <w:sz w:val="36"/>
          <w:szCs w:val="36"/>
        </w:rPr>
        <w:t xml:space="preserve">第一章   投标邀请</w:t>
      </w:r>
      <w:bookmarkEnd w:id="2"/>
      <w:r>
        <w:rPr>
          <w:b/>
          <w:sz w:val="36"/>
          <w:szCs w:val="36"/>
        </w:rPr>
      </w:r>
      <w:r/>
    </w:p>
    <w:p>
      <w:pPr>
        <w:pStyle w:val="729"/>
        <w:ind w:firstLine="480"/>
        <w:spacing w:line="360" w:lineRule="auto"/>
        <w:rPr>
          <w:rFonts w:hint="eastAsia" w:ascii="宋体" w:hAnsi="宋体"/>
          <w:color w:val="000000"/>
          <w:sz w:val="24"/>
        </w:rPr>
      </w:pPr>
      <w:r/>
      <w:bookmarkStart w:id="3" w:name="_Toc35393790"/>
      <w:r/>
      <w:bookmarkStart w:id="4" w:name="_Toc35393621"/>
      <w:r/>
      <w:bookmarkStart w:id="5" w:name="_Toc28359002"/>
      <w:r/>
      <w:bookmarkStart w:id="6" w:name="_Toc28359079"/>
      <w:r/>
      <w:bookmarkStart w:id="7" w:name="_Hlk24379207"/>
      <w:r/>
      <w:bookmarkStart w:id="8" w:name="_Hlk151728086"/>
      <w:r/>
      <w:bookmarkStart w:id="9" w:name="_Toc28359081"/>
      <w:r/>
      <w:bookmarkStart w:id="10" w:name="_Toc28359004"/>
      <w:r>
        <w:rPr>
          <w:rFonts w:hint="eastAsia" w:ascii="宋体" w:hAnsi="宋体"/>
          <w:color w:val="000000"/>
          <w:sz w:val="24"/>
        </w:rPr>
        <w:t xml:space="preserve">受</w:t>
      </w:r>
      <w:r>
        <w:rPr>
          <w:rFonts w:hint="eastAsia" w:ascii="宋体" w:hAnsi="宋体"/>
          <w:color w:val="000000"/>
          <w:sz w:val="24"/>
          <w:u w:val="single"/>
        </w:rPr>
        <w:t xml:space="preserve">常州市武进区发展和改革局 </w:t>
      </w:r>
      <w:r>
        <w:rPr>
          <w:rFonts w:hint="eastAsia" w:ascii="宋体" w:hAnsi="宋体"/>
          <w:color w:val="000000"/>
          <w:sz w:val="24"/>
        </w:rPr>
        <w:t xml:space="preserve">委托，江苏嘉加诚工程投资咨询有限公司就</w:t>
      </w:r>
      <w:r>
        <w:rPr>
          <w:rFonts w:hint="eastAsia" w:ascii="宋体" w:hAnsi="宋体"/>
          <w:color w:val="000000"/>
          <w:sz w:val="24"/>
          <w:u w:val="single"/>
        </w:rPr>
        <w:t xml:space="preserve">武进区2025年应急生活物资和地震地质灾害物资采购</w:t>
      </w:r>
      <w:r>
        <w:rPr>
          <w:rFonts w:hint="eastAsia" w:ascii="宋体" w:hAnsi="宋体"/>
          <w:color w:val="000000"/>
          <w:sz w:val="24"/>
        </w:rPr>
        <w:t xml:space="preserve">进行公开招标采购，各潜在投标人可在“苏采云”平台自行免费下载招标文件，并于</w:t>
      </w:r>
      <w:r>
        <w:rPr>
          <w:rFonts w:ascii="宋体" w:hAnsi="宋体"/>
          <w:color w:val="000000"/>
          <w:sz w:val="24"/>
          <w:u w:val="single"/>
        </w:rPr>
        <w:t xml:space="preserve"> </w:t>
      </w:r>
      <w:r>
        <w:rPr>
          <w:rFonts w:hint="eastAsia" w:ascii="宋体" w:hAnsi="宋体"/>
          <w:color w:val="000000"/>
          <w:sz w:val="24"/>
          <w:u w:val="single"/>
        </w:rPr>
        <w:t xml:space="preserve">2025</w:t>
      </w:r>
      <w:r>
        <w:rPr>
          <w:rFonts w:hint="eastAsia" w:ascii="宋体" w:hAnsi="宋体"/>
          <w:bCs/>
          <w:color w:val="000000"/>
          <w:sz w:val="24"/>
          <w:u w:val="single"/>
        </w:rPr>
        <w:t xml:space="preserve">年1</w:t>
      </w:r>
      <w:r>
        <w:rPr>
          <w:rFonts w:hint="eastAsia" w:ascii="宋体" w:hAnsi="宋体"/>
          <w:bCs/>
          <w:color w:val="000000"/>
          <w:sz w:val="24"/>
          <w:u w:val="single"/>
        </w:rPr>
        <w:t xml:space="preserve">1</w:t>
      </w:r>
      <w:r>
        <w:rPr>
          <w:rFonts w:hint="eastAsia" w:ascii="宋体" w:hAnsi="宋体"/>
          <w:bCs/>
          <w:color w:val="000000"/>
          <w:sz w:val="24"/>
          <w:u w:val="single"/>
        </w:rPr>
        <w:t xml:space="preserve"> 月</w:t>
      </w:r>
      <w:r>
        <w:rPr>
          <w:rFonts w:hint="eastAsia" w:ascii="宋体" w:hAnsi="宋体"/>
          <w:bCs/>
          <w:color w:val="000000"/>
          <w:sz w:val="24"/>
          <w:u w:val="single"/>
        </w:rPr>
        <w:t xml:space="preserve">10</w:t>
      </w:r>
      <w:r>
        <w:rPr>
          <w:rFonts w:hint="eastAsia" w:ascii="宋体" w:hAnsi="宋体"/>
          <w:bCs/>
          <w:color w:val="000000"/>
          <w:sz w:val="24"/>
          <w:u w:val="single"/>
        </w:rPr>
        <w:t xml:space="preserve">日</w:t>
      </w:r>
      <w:r>
        <w:rPr>
          <w:rFonts w:hint="eastAsia" w:ascii="宋体" w:hAnsi="宋体"/>
          <w:bCs/>
          <w:color w:val="000000"/>
          <w:sz w:val="24"/>
          <w:u w:val="single"/>
        </w:rPr>
        <w:t xml:space="preserve">9</w:t>
      </w:r>
      <w:r>
        <w:rPr>
          <w:rFonts w:hint="eastAsia" w:ascii="宋体" w:hAnsi="宋体"/>
          <w:bCs/>
          <w:color w:val="000000"/>
          <w:sz w:val="24"/>
          <w:u w:val="single"/>
        </w:rPr>
        <w:t xml:space="preserve">:00（</w:t>
      </w:r>
      <w:r>
        <w:rPr>
          <w:rFonts w:hint="eastAsia" w:ascii="宋体" w:hAnsi="宋体"/>
          <w:bCs/>
          <w:color w:val="000000"/>
          <w:sz w:val="24"/>
        </w:rPr>
        <w:t xml:space="preserve">北京时间）前递交投标</w:t>
      </w:r>
      <w:r>
        <w:rPr>
          <w:rFonts w:ascii="宋体" w:hAnsi="宋体"/>
          <w:bCs/>
          <w:color w:val="000000"/>
          <w:sz w:val="24"/>
        </w:rPr>
        <w:t xml:space="preserve">文件</w:t>
      </w:r>
      <w:r>
        <w:rPr>
          <w:rFonts w:hint="eastAsia" w:ascii="宋体" w:hAnsi="宋体"/>
          <w:color w:val="000000"/>
          <w:sz w:val="24"/>
        </w:rPr>
        <w:t xml:space="preserve">。</w:t>
      </w:r>
      <w:r/>
    </w:p>
    <w:p>
      <w:pPr>
        <w:pStyle w:val="73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729"/>
        <w:ind w:firstLine="480"/>
        <w:spacing w:line="360" w:lineRule="auto"/>
        <w:rPr>
          <w:rFonts w:hint="eastAsia"/>
          <w:sz w:val="24"/>
        </w:rPr>
      </w:pPr>
      <w:r>
        <w:rPr>
          <w:sz w:val="24"/>
        </w:rPr>
        <w:t xml:space="preserve">1.项目编号：</w:t>
      </w:r>
      <w:bookmarkStart w:id="11" w:name="_Hlk209396375"/>
      <w:r>
        <w:rPr>
          <w:sz w:val="24"/>
        </w:rPr>
        <w:t xml:space="preserve">JSZC-320412-</w:t>
      </w:r>
      <w:r>
        <w:rPr>
          <w:rFonts w:hint="eastAsia"/>
          <w:sz w:val="24"/>
        </w:rPr>
        <w:t xml:space="preserve">JJJC</w:t>
      </w:r>
      <w:r>
        <w:rPr>
          <w:sz w:val="24"/>
        </w:rPr>
        <w:t xml:space="preserve">-G202</w:t>
      </w:r>
      <w:r>
        <w:rPr>
          <w:rFonts w:hint="eastAsia"/>
          <w:sz w:val="24"/>
        </w:rPr>
        <w:t xml:space="preserve">5</w:t>
      </w:r>
      <w:r>
        <w:rPr>
          <w:sz w:val="24"/>
        </w:rPr>
        <w:t xml:space="preserve">-00</w:t>
      </w:r>
      <w:r>
        <w:rPr>
          <w:rFonts w:hint="eastAsia"/>
          <w:sz w:val="24"/>
        </w:rPr>
        <w:t xml:space="preserve">54</w:t>
      </w:r>
      <w:r>
        <w:rPr>
          <w:rFonts w:hint="eastAsia"/>
          <w:sz w:val="24"/>
        </w:rPr>
      </w:r>
      <w:r/>
    </w:p>
    <w:p>
      <w:pPr>
        <w:pStyle w:val="729"/>
        <w:ind w:firstLine="480"/>
        <w:spacing w:line="360" w:lineRule="auto"/>
        <w:rPr>
          <w:rFonts w:hint="eastAsia"/>
          <w:sz w:val="24"/>
        </w:rPr>
      </w:pPr>
      <w:r/>
      <w:bookmarkEnd w:id="11"/>
      <w:r>
        <w:rPr>
          <w:sz w:val="24"/>
        </w:rPr>
        <w:t xml:space="preserve">2.项目名称：</w:t>
      </w:r>
      <w:bookmarkEnd w:id="7"/>
      <w:r>
        <w:rPr>
          <w:rFonts w:hint="eastAsia"/>
          <w:sz w:val="24"/>
        </w:rPr>
        <w:t xml:space="preserve">武进区2025年应急生活物资和地震地质灾害物资采购</w:t>
      </w:r>
      <w:r/>
    </w:p>
    <w:p>
      <w:pPr>
        <w:pStyle w:val="729"/>
        <w:ind w:firstLine="480"/>
        <w:spacing w:line="360" w:lineRule="auto"/>
        <w:rPr>
          <w:sz w:val="24"/>
        </w:rPr>
      </w:pPr>
      <w:r>
        <w:rPr>
          <w:sz w:val="24"/>
        </w:rPr>
        <w:t xml:space="preserve">3.项目预算金额：</w:t>
      </w:r>
      <w:r>
        <w:rPr>
          <w:rFonts w:hint="eastAsia"/>
          <w:sz w:val="24"/>
        </w:rPr>
        <w:t xml:space="preserve">总金额</w:t>
      </w:r>
      <w:r>
        <w:rPr>
          <w:rFonts w:hint="eastAsia"/>
          <w:sz w:val="24"/>
        </w:rPr>
        <w:t xml:space="preserve">170.9万</w:t>
      </w:r>
      <w:r>
        <w:rPr>
          <w:rFonts w:hint="eastAsia"/>
          <w:sz w:val="24"/>
        </w:rPr>
        <w:t xml:space="preserve">元</w:t>
      </w:r>
      <w:r>
        <w:rPr>
          <w:rFonts w:hint="eastAsia"/>
          <w:sz w:val="24"/>
        </w:rPr>
        <w:t xml:space="preserve">，其中</w:t>
      </w:r>
      <w:r>
        <w:rPr>
          <w:rFonts w:hint="eastAsia"/>
          <w:sz w:val="24"/>
        </w:rPr>
        <w:t xml:space="preserve">01包56.1万元</w:t>
      </w:r>
      <w:r>
        <w:rPr>
          <w:rFonts w:hint="eastAsia"/>
          <w:sz w:val="24"/>
        </w:rPr>
        <w:t xml:space="preserve">；</w:t>
      </w:r>
      <w:r>
        <w:rPr>
          <w:rFonts w:hint="eastAsia"/>
          <w:sz w:val="24"/>
        </w:rPr>
        <w:t xml:space="preserve">0</w:t>
      </w:r>
      <w:r>
        <w:rPr>
          <w:rFonts w:hint="eastAsia"/>
          <w:sz w:val="24"/>
        </w:rPr>
        <w:t xml:space="preserve">2</w:t>
      </w:r>
      <w:r>
        <w:rPr>
          <w:rFonts w:hint="eastAsia"/>
          <w:sz w:val="24"/>
        </w:rPr>
        <w:t xml:space="preserve">包114.</w:t>
      </w:r>
      <w:r>
        <w:rPr>
          <w:rFonts w:hint="eastAsia"/>
          <w:sz w:val="24"/>
        </w:rPr>
        <w:t xml:space="preserve">8</w:t>
      </w:r>
      <w:r>
        <w:rPr>
          <w:rFonts w:hint="eastAsia"/>
          <w:sz w:val="24"/>
        </w:rPr>
        <w:t xml:space="preserve">万元。</w:t>
      </w:r>
      <w:r>
        <w:rPr>
          <w:sz w:val="24"/>
        </w:rPr>
      </w:r>
      <w:r/>
    </w:p>
    <w:p>
      <w:pPr>
        <w:pStyle w:val="729"/>
        <w:ind w:firstLine="480"/>
        <w:spacing w:line="360" w:lineRule="auto"/>
        <w:rPr>
          <w:sz w:val="24"/>
        </w:rPr>
      </w:pPr>
      <w:r>
        <w:rPr>
          <w:rFonts w:hint="eastAsia"/>
          <w:sz w:val="24"/>
        </w:rPr>
        <w:t xml:space="preserve">4.包号划分及</w:t>
      </w:r>
      <w:r>
        <w:rPr>
          <w:sz w:val="24"/>
        </w:rPr>
        <w:t xml:space="preserve">项目最高限价：</w:t>
      </w:r>
      <w:r>
        <w:rPr>
          <w:rFonts w:hint="eastAsia"/>
          <w:sz w:val="24"/>
        </w:rPr>
        <w:t xml:space="preserve">本项目共分2个包，每个投标人可以同时投2个包，最多只能中1个包。</w:t>
      </w:r>
      <w:r>
        <w:rPr>
          <w:sz w:val="24"/>
        </w:rPr>
      </w:r>
      <w:r/>
    </w:p>
    <w:tbl>
      <w:tblPr>
        <w:tblW w:w="77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4076"/>
        <w:gridCol w:w="1628"/>
        <w:gridCol w:w="1134"/>
      </w:tblGrid>
      <w:tr>
        <w:trPr>
          <w:trHeight w:val="540"/>
        </w:trPr>
        <w:tc>
          <w:tcPr>
            <w:tcW w:w="886" w:type="dxa"/>
            <w:vAlign w:val="center"/>
            <w:textDirection w:val="lrTb"/>
            <w:noWrap w:val="false"/>
          </w:tcPr>
          <w:p>
            <w:pPr>
              <w:pStyle w:val="729"/>
              <w:jc w:val="center"/>
              <w:rPr>
                <w:szCs w:val="21"/>
              </w:rPr>
            </w:pPr>
            <w:r>
              <w:rPr>
                <w:rFonts w:hint="eastAsia"/>
                <w:szCs w:val="21"/>
              </w:rPr>
              <w:t xml:space="preserve">包号</w:t>
            </w:r>
            <w:r>
              <w:rPr>
                <w:szCs w:val="21"/>
              </w:rPr>
            </w:r>
            <w:r/>
          </w:p>
        </w:tc>
        <w:tc>
          <w:tcPr>
            <w:tcW w:w="4076" w:type="dxa"/>
            <w:vAlign w:val="center"/>
            <w:textDirection w:val="lrTb"/>
            <w:noWrap w:val="false"/>
          </w:tcPr>
          <w:p>
            <w:pPr>
              <w:pStyle w:val="729"/>
              <w:jc w:val="center"/>
              <w:rPr>
                <w:szCs w:val="21"/>
              </w:rPr>
            </w:pPr>
            <w:r>
              <w:rPr>
                <w:rFonts w:hint="eastAsia"/>
                <w:szCs w:val="21"/>
              </w:rPr>
              <w:t xml:space="preserve">名称</w:t>
            </w:r>
            <w:r>
              <w:rPr>
                <w:szCs w:val="21"/>
              </w:rPr>
            </w:r>
            <w:r/>
          </w:p>
        </w:tc>
        <w:tc>
          <w:tcPr>
            <w:tcW w:w="1628" w:type="dxa"/>
            <w:vAlign w:val="center"/>
            <w:textDirection w:val="lrTb"/>
            <w:noWrap w:val="false"/>
          </w:tcPr>
          <w:p>
            <w:pPr>
              <w:pStyle w:val="729"/>
              <w:jc w:val="center"/>
              <w:rPr>
                <w:szCs w:val="21"/>
              </w:rPr>
            </w:pPr>
            <w:r>
              <w:rPr>
                <w:rFonts w:hint="eastAsia"/>
                <w:szCs w:val="21"/>
              </w:rPr>
              <w:t xml:space="preserve">最高限价</w:t>
            </w:r>
            <w:r>
              <w:rPr>
                <w:szCs w:val="21"/>
              </w:rPr>
            </w:r>
            <w:r/>
          </w:p>
        </w:tc>
        <w:tc>
          <w:tcPr>
            <w:tcW w:w="1134" w:type="dxa"/>
            <w:vAlign w:val="center"/>
            <w:textDirection w:val="lrTb"/>
            <w:noWrap w:val="false"/>
          </w:tcPr>
          <w:p>
            <w:pPr>
              <w:pStyle w:val="729"/>
              <w:jc w:val="center"/>
              <w:rPr>
                <w:rFonts w:hint="eastAsia"/>
                <w:szCs w:val="21"/>
              </w:rPr>
            </w:pPr>
            <w:r>
              <w:rPr>
                <w:rFonts w:hint="eastAsia"/>
                <w:szCs w:val="21"/>
              </w:rPr>
              <w:t xml:space="preserve">备注</w:t>
            </w:r>
            <w:r/>
          </w:p>
        </w:tc>
      </w:tr>
      <w:tr>
        <w:trPr>
          <w:cantSplit/>
          <w:trHeight w:val="607"/>
        </w:trPr>
        <w:tc>
          <w:tcPr>
            <w:tcW w:w="886" w:type="dxa"/>
            <w:vAlign w:val="center"/>
            <w:textDirection w:val="lrTb"/>
            <w:noWrap w:val="false"/>
          </w:tcPr>
          <w:p>
            <w:pPr>
              <w:pStyle w:val="729"/>
              <w:jc w:val="center"/>
              <w:rPr>
                <w:rFonts w:hint="eastAsia"/>
                <w:szCs w:val="21"/>
              </w:rPr>
            </w:pPr>
            <w:r>
              <w:rPr>
                <w:rFonts w:hint="eastAsia"/>
                <w:szCs w:val="21"/>
              </w:rPr>
              <w:t xml:space="preserve">01</w:t>
            </w:r>
            <w:r/>
          </w:p>
        </w:tc>
        <w:tc>
          <w:tcPr>
            <w:tcW w:w="4076" w:type="dxa"/>
            <w:vAlign w:val="center"/>
            <w:textDirection w:val="lrTb"/>
            <w:noWrap w:val="false"/>
          </w:tcPr>
          <w:p>
            <w:pPr>
              <w:pStyle w:val="729"/>
              <w:jc w:val="center"/>
              <w:rPr>
                <w:szCs w:val="21"/>
              </w:rPr>
            </w:pPr>
            <w:r>
              <w:rPr>
                <w:rFonts w:hint="eastAsia"/>
                <w:szCs w:val="21"/>
              </w:rPr>
              <w:t xml:space="preserve">武进区2025年地震地质灾害物资</w:t>
            </w:r>
            <w:r>
              <w:rPr>
                <w:szCs w:val="21"/>
              </w:rPr>
            </w:r>
            <w:r/>
          </w:p>
        </w:tc>
        <w:tc>
          <w:tcPr>
            <w:tcW w:w="1628" w:type="dxa"/>
            <w:vAlign w:val="center"/>
            <w:textDirection w:val="lrTb"/>
            <w:noWrap w:val="false"/>
          </w:tcPr>
          <w:p>
            <w:pPr>
              <w:pStyle w:val="729"/>
              <w:jc w:val="center"/>
              <w:rPr>
                <w:rFonts w:hint="eastAsia"/>
                <w:szCs w:val="21"/>
              </w:rPr>
            </w:pPr>
            <w:r>
              <w:rPr>
                <w:rFonts w:hint="eastAsia"/>
                <w:sz w:val="24"/>
              </w:rPr>
              <w:t xml:space="preserve">56.1</w:t>
            </w:r>
            <w:r>
              <w:rPr>
                <w:rFonts w:hint="eastAsia"/>
                <w:szCs w:val="21"/>
              </w:rPr>
              <w:t xml:space="preserve">万</w:t>
            </w:r>
            <w:r>
              <w:rPr>
                <w:rFonts w:hint="eastAsia"/>
                <w:sz w:val="24"/>
              </w:rPr>
              <w:t xml:space="preserve">元</w:t>
            </w:r>
            <w:r>
              <w:rPr>
                <w:rFonts w:hint="eastAsia"/>
                <w:szCs w:val="21"/>
              </w:rPr>
            </w:r>
            <w:r/>
          </w:p>
        </w:tc>
        <w:tc>
          <w:tcPr>
            <w:tcW w:w="1134" w:type="dxa"/>
            <w:vAlign w:val="center"/>
            <w:textDirection w:val="lrTb"/>
            <w:noWrap w:val="false"/>
          </w:tcPr>
          <w:p>
            <w:pPr>
              <w:pStyle w:val="729"/>
              <w:jc w:val="center"/>
              <w:rPr>
                <w:szCs w:val="21"/>
              </w:rPr>
            </w:pPr>
            <w:r>
              <w:rPr>
                <w:szCs w:val="21"/>
              </w:rPr>
            </w:r>
            <w:r/>
          </w:p>
        </w:tc>
      </w:tr>
      <w:tr>
        <w:trPr>
          <w:cantSplit/>
          <w:trHeight w:val="607"/>
        </w:trPr>
        <w:tc>
          <w:tcPr>
            <w:tcW w:w="886" w:type="dxa"/>
            <w:vAlign w:val="center"/>
            <w:textDirection w:val="lrTb"/>
            <w:noWrap w:val="false"/>
          </w:tcPr>
          <w:p>
            <w:pPr>
              <w:pStyle w:val="729"/>
              <w:jc w:val="center"/>
              <w:rPr>
                <w:rFonts w:hint="eastAsia"/>
                <w:szCs w:val="21"/>
              </w:rPr>
            </w:pPr>
            <w:r>
              <w:rPr>
                <w:rFonts w:hint="eastAsia"/>
                <w:szCs w:val="21"/>
              </w:rPr>
              <w:t xml:space="preserve">02</w:t>
            </w:r>
            <w:r/>
          </w:p>
        </w:tc>
        <w:tc>
          <w:tcPr>
            <w:tcW w:w="4076" w:type="dxa"/>
            <w:vAlign w:val="center"/>
            <w:textDirection w:val="lrTb"/>
            <w:noWrap w:val="false"/>
          </w:tcPr>
          <w:p>
            <w:pPr>
              <w:pStyle w:val="729"/>
              <w:jc w:val="center"/>
              <w:rPr>
                <w:szCs w:val="21"/>
              </w:rPr>
            </w:pPr>
            <w:r/>
            <w:bookmarkStart w:id="12" w:name="_Hlk181110917"/>
            <w:r>
              <w:rPr>
                <w:rFonts w:hint="eastAsia"/>
                <w:szCs w:val="21"/>
              </w:rPr>
              <w:t xml:space="preserve">武进区2025年应急生活物资</w:t>
            </w:r>
            <w:bookmarkEnd w:id="12"/>
            <w:r>
              <w:rPr>
                <w:szCs w:val="21"/>
              </w:rPr>
            </w:r>
            <w:r/>
          </w:p>
        </w:tc>
        <w:tc>
          <w:tcPr>
            <w:tcW w:w="1628" w:type="dxa"/>
            <w:vAlign w:val="center"/>
            <w:textDirection w:val="lrTb"/>
            <w:noWrap w:val="false"/>
          </w:tcPr>
          <w:p>
            <w:pPr>
              <w:pStyle w:val="729"/>
              <w:jc w:val="center"/>
              <w:rPr>
                <w:szCs w:val="21"/>
              </w:rPr>
            </w:pPr>
            <w:r>
              <w:rPr>
                <w:rFonts w:hint="eastAsia"/>
                <w:szCs w:val="21"/>
              </w:rPr>
              <w:t xml:space="preserve">114.8</w:t>
            </w:r>
            <w:r>
              <w:rPr>
                <w:rFonts w:hint="eastAsia"/>
                <w:sz w:val="24"/>
              </w:rPr>
              <w:t xml:space="preserve">万元</w:t>
            </w:r>
            <w:r>
              <w:rPr>
                <w:szCs w:val="21"/>
              </w:rPr>
            </w:r>
            <w:r/>
          </w:p>
        </w:tc>
        <w:tc>
          <w:tcPr>
            <w:tcW w:w="1134" w:type="dxa"/>
            <w:vAlign w:val="center"/>
            <w:textDirection w:val="lrTb"/>
            <w:noWrap w:val="false"/>
          </w:tcPr>
          <w:p>
            <w:pPr>
              <w:pStyle w:val="729"/>
              <w:jc w:val="center"/>
              <w:rPr>
                <w:szCs w:val="21"/>
              </w:rPr>
            </w:pPr>
            <w:r>
              <w:rPr>
                <w:szCs w:val="21"/>
              </w:rPr>
            </w:r>
            <w:r/>
          </w:p>
        </w:tc>
      </w:tr>
    </w:tbl>
    <w:p>
      <w:pPr>
        <w:pStyle w:val="729"/>
        <w:ind w:firstLine="480"/>
        <w:spacing w:line="360" w:lineRule="auto"/>
        <w:rPr>
          <w:rFonts w:hint="eastAsia"/>
          <w:sz w:val="24"/>
        </w:rPr>
      </w:pPr>
      <w:r>
        <w:rPr>
          <w:rFonts w:hint="eastAsia"/>
          <w:sz w:val="24"/>
        </w:rPr>
        <w:t xml:space="preserve">5</w:t>
      </w:r>
      <w:r>
        <w:rPr>
          <w:sz w:val="24"/>
        </w:rPr>
        <w:t xml:space="preserve">.采购需求：</w:t>
      </w:r>
      <w:r>
        <w:rPr>
          <w:rFonts w:hint="eastAsia"/>
          <w:sz w:val="24"/>
        </w:rPr>
        <w:t xml:space="preserve">武进区2025年应急生活物资和地震地质灾害物资的采购、供货及售后；应急生活物资主要为临时住宿、床用纺织品、防护、服装纺织品、卫生保障、饮食保</w:t>
      </w:r>
      <w:r>
        <w:rPr>
          <w:rFonts w:hint="eastAsia"/>
          <w:sz w:val="24"/>
        </w:rPr>
        <w:t xml:space="preserve">障、婴幼儿保障等方面的物资。地震地质灾害物资主要为防护、探测、救生、破拆、通信、照明、警戒等方面的物资。</w:t>
      </w:r>
      <w:r>
        <w:rPr>
          <w:rFonts w:hint="eastAsia"/>
          <w:sz w:val="24"/>
        </w:rPr>
        <w:t xml:space="preserve">具体见招标文件内容。</w:t>
      </w:r>
      <w:r>
        <w:rPr>
          <w:rFonts w:hint="eastAsia"/>
          <w:sz w:val="24"/>
        </w:rPr>
      </w:r>
      <w:r/>
    </w:p>
    <w:p>
      <w:pPr>
        <w:pStyle w:val="729"/>
        <w:ind w:firstLine="480"/>
        <w:spacing w:line="360" w:lineRule="auto"/>
        <w:rPr>
          <w:rFonts w:hint="eastAsia"/>
          <w:sz w:val="24"/>
        </w:rPr>
      </w:pPr>
      <w:r>
        <w:rPr>
          <w:rFonts w:hint="eastAsia"/>
          <w:sz w:val="24"/>
        </w:rPr>
        <w:t xml:space="preserve">6</w:t>
      </w:r>
      <w:r>
        <w:rPr>
          <w:sz w:val="24"/>
        </w:rPr>
        <w:t xml:space="preserve">.</w:t>
      </w:r>
      <w:r>
        <w:rPr>
          <w:rFonts w:hint="eastAsia"/>
          <w:sz w:val="24"/>
        </w:rPr>
        <w:t xml:space="preserve">供货期：合同签订后10天内完成供货并验收合格。</w:t>
      </w:r>
      <w:r/>
    </w:p>
    <w:p>
      <w:pPr>
        <w:pStyle w:val="729"/>
        <w:ind w:firstLine="480"/>
        <w:spacing w:line="360" w:lineRule="auto"/>
        <w:rPr>
          <w:rFonts w:hint="eastAsia"/>
          <w:sz w:val="24"/>
        </w:rPr>
      </w:pPr>
      <w:r>
        <w:rPr>
          <w:rFonts w:hint="eastAsia"/>
          <w:sz w:val="24"/>
        </w:rPr>
        <w:t xml:space="preserve">7</w:t>
      </w:r>
      <w:r>
        <w:rPr>
          <w:sz w:val="24"/>
        </w:rPr>
        <w:t xml:space="preserve">.本项目是否接受联合体投标：否</w:t>
      </w:r>
      <w:r>
        <w:rPr>
          <w:rFonts w:hint="eastAsia"/>
          <w:sz w:val="24"/>
        </w:rPr>
        <w:t xml:space="preserve">。</w:t>
      </w:r>
      <w:r/>
    </w:p>
    <w:p>
      <w:pPr>
        <w:pStyle w:val="729"/>
        <w:ind w:firstLine="480"/>
        <w:spacing w:line="360" w:lineRule="auto"/>
        <w:rPr>
          <w:rFonts w:hint="eastAsia"/>
          <w:color w:val="ff0000"/>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rPr>
          <w:rFonts w:hint="eastAsia"/>
          <w:color w:val="ff0000"/>
          <w:sz w:val="24"/>
        </w:rPr>
      </w:r>
      <w:r/>
    </w:p>
    <w:p>
      <w:pPr>
        <w:pStyle w:val="731"/>
        <w:ind w:firstLine="482"/>
        <w:jc w:val="left"/>
        <w:spacing w:before="0" w:line="360" w:lineRule="auto"/>
        <w:rPr>
          <w:rFonts w:ascii="Times New Roman" w:hAnsi="Times New Roman" w:eastAsia="宋体"/>
          <w:sz w:val="24"/>
          <w:szCs w:val="24"/>
        </w:rPr>
      </w:pPr>
      <w:r/>
      <w:bookmarkStart w:id="13" w:name="_Toc35393622"/>
      <w:r/>
      <w:bookmarkStart w:id="14" w:name="_Toc28359080"/>
      <w:r/>
      <w:bookmarkStart w:id="15" w:name="_Toc35393791"/>
      <w:r/>
      <w:bookmarkStart w:id="16" w:name="_Toc28359003"/>
      <w:r>
        <w:rPr>
          <w:rFonts w:ascii="Times New Roman" w:hAnsi="Times New Roman" w:eastAsia="宋体"/>
          <w:sz w:val="24"/>
          <w:szCs w:val="24"/>
        </w:rPr>
        <w:t xml:space="preserve">二、申请人的资格要求</w:t>
      </w:r>
      <w:bookmarkEnd w:id="13"/>
      <w:r/>
      <w:bookmarkEnd w:id="14"/>
      <w:r/>
      <w:bookmarkEnd w:id="15"/>
      <w:r/>
      <w:bookmarkEnd w:id="16"/>
      <w:r>
        <w:rPr>
          <w:rFonts w:ascii="Times New Roman" w:hAnsi="Times New Roman" w:eastAsia="宋体"/>
          <w:sz w:val="24"/>
          <w:szCs w:val="24"/>
        </w:rPr>
        <w:t xml:space="preserve">（须同时满足）</w:t>
      </w:r>
      <w:r/>
    </w:p>
    <w:p>
      <w:pPr>
        <w:pStyle w:val="729"/>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29"/>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729"/>
        <w:ind w:firstLine="480"/>
        <w:spacing w:line="360" w:lineRule="auto"/>
        <w:rPr>
          <w:sz w:val="24"/>
        </w:rPr>
      </w:pPr>
      <w:r>
        <w:rPr>
          <w:rFonts w:hint="eastAsia"/>
          <w:sz w:val="24"/>
        </w:rPr>
        <w:t xml:space="preserve">1.2</w:t>
      </w:r>
      <w:bookmarkStart w:id="17" w:name="_Hlk181350193"/>
      <w:r>
        <w:rPr>
          <w:rFonts w:hint="eastAsia"/>
          <w:sz w:val="24"/>
        </w:rPr>
        <w:t xml:space="preserve">单位负责人</w:t>
      </w:r>
      <w:r>
        <w:rPr>
          <w:rFonts w:hint="eastAsia"/>
          <w:sz w:val="24"/>
        </w:rPr>
        <w:t xml:space="preserve">为同一人或者存在直接控股、管理关系的不同供应商（包含法定代表人为同一个人的两个及两个以上法人，母公司、全资子公司及其控股公司），不得参加同一合同项下的政府采购活动。</w:t>
      </w:r>
      <w:bookmarkEnd w:id="17"/>
      <w:r>
        <w:rPr>
          <w:sz w:val="24"/>
        </w:rPr>
      </w:r>
      <w:r/>
    </w:p>
    <w:p>
      <w:pPr>
        <w:pStyle w:val="729"/>
        <w:ind w:firstLine="480"/>
        <w:spacing w:line="360" w:lineRule="auto"/>
        <w:rPr>
          <w:sz w:val="24"/>
        </w:rPr>
      </w:pPr>
      <w:r>
        <w:rPr>
          <w:sz w:val="24"/>
        </w:rPr>
        <w:t xml:space="preserve">2.落实政府采购政策需满足的资格要求：</w:t>
      </w:r>
      <w:r/>
    </w:p>
    <w:p>
      <w:pPr>
        <w:pStyle w:val="729"/>
        <w:ind w:firstLine="480"/>
        <w:spacing w:line="360" w:lineRule="auto"/>
        <w:rPr>
          <w:sz w:val="24"/>
        </w:rPr>
      </w:pPr>
      <w:r>
        <w:rPr>
          <w:sz w:val="24"/>
        </w:rPr>
        <w:t xml:space="preserve">2.1 中小企业政策</w:t>
      </w:r>
      <w:r/>
    </w:p>
    <w:p>
      <w:pPr>
        <w:pStyle w:val="729"/>
        <w:ind w:firstLine="480"/>
        <w:spacing w:line="360" w:lineRule="auto"/>
        <w:rPr>
          <w:rFonts w:hint="eastAsia"/>
          <w:sz w:val="24"/>
        </w:rPr>
      </w:pPr>
      <w:r>
        <w:rPr>
          <w:rFonts w:hint="eastAsia"/>
          <w:sz w:val="24"/>
        </w:rPr>
        <w:t xml:space="preserve">本项目专门面向中小企业采购。即：提供的货物全部由符合政策要求的中小企业制造、服务全部由符合政策要求的中小企业承接。</w:t>
      </w:r>
      <w:r/>
    </w:p>
    <w:p>
      <w:pPr>
        <w:pStyle w:val="729"/>
        <w:ind w:firstLine="480"/>
        <w:spacing w:line="360" w:lineRule="auto"/>
        <w:rPr>
          <w:i/>
          <w:iCs/>
          <w:sz w:val="24"/>
          <w:u w:val="single"/>
        </w:rPr>
      </w:pPr>
      <w:r>
        <w:rPr>
          <w:sz w:val="24"/>
        </w:rPr>
        <w:t xml:space="preserve">3.本项目的特定资格要求：</w:t>
      </w:r>
      <w:r>
        <w:rPr>
          <w:i/>
          <w:iCs/>
          <w:sz w:val="24"/>
          <w:u w:val="single"/>
        </w:rPr>
      </w:r>
      <w:r/>
    </w:p>
    <w:p>
      <w:pPr>
        <w:pStyle w:val="729"/>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pStyle w:val="729"/>
        <w:ind w:firstLine="480"/>
        <w:spacing w:line="360" w:lineRule="auto"/>
        <w:rPr>
          <w:rFonts w:hint="eastAsia"/>
          <w:sz w:val="24"/>
        </w:rPr>
      </w:pPr>
      <w:r>
        <w:rPr>
          <w:sz w:val="24"/>
        </w:rPr>
        <w:t xml:space="preserve">3.2本项目是否属于政府购买服务：</w:t>
      </w:r>
      <w:r>
        <w:rPr>
          <w:rFonts w:hint="eastAsia"/>
          <w:sz w:val="24"/>
        </w:rPr>
        <w:t xml:space="preserve">否。</w:t>
      </w:r>
      <w:r/>
    </w:p>
    <w:p>
      <w:pPr>
        <w:pStyle w:val="729"/>
        <w:ind w:firstLine="480"/>
        <w:spacing w:line="360" w:lineRule="auto"/>
        <w:tabs>
          <w:tab w:val="left" w:pos="900" w:leader="none"/>
          <w:tab w:val="left" w:pos="1134" w:leader="none"/>
          <w:tab w:val="left" w:pos="1589" w:leader="none"/>
          <w:tab w:val="left" w:pos="5521" w:leader="none"/>
        </w:tabs>
        <w:rPr>
          <w:rFonts w:hint="eastAsia"/>
          <w:sz w:val="24"/>
        </w:rPr>
      </w:pPr>
      <w:r>
        <w:rPr>
          <w:sz w:val="24"/>
        </w:rPr>
        <w:t xml:space="preserve">3.3其他特定资格要求：</w:t>
      </w:r>
      <w:bookmarkEnd w:id="9"/>
      <w:r/>
      <w:bookmarkEnd w:id="10"/>
      <w:r/>
      <w:bookmarkStart w:id="18" w:name="_Toc35393623"/>
      <w:r/>
      <w:bookmarkStart w:id="19" w:name="_Toc35393792"/>
      <w:r>
        <w:rPr>
          <w:rFonts w:hint="eastAsia"/>
          <w:sz w:val="24"/>
        </w:rPr>
        <w:t xml:space="preserve">/</w:t>
      </w:r>
      <w:r/>
    </w:p>
    <w:p>
      <w:pPr>
        <w:pStyle w:val="73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三、获取招标文件</w:t>
      </w:r>
      <w:bookmarkEnd w:id="18"/>
      <w:r/>
      <w:bookmarkEnd w:id="19"/>
      <w:r>
        <w:rPr>
          <w:rFonts w:ascii="Times New Roman" w:hAnsi="Times New Roman" w:eastAsia="宋体"/>
          <w:sz w:val="24"/>
          <w:szCs w:val="24"/>
        </w:rPr>
      </w:r>
      <w:r/>
    </w:p>
    <w:p>
      <w:pPr>
        <w:pStyle w:val="729"/>
        <w:ind w:firstLine="540"/>
        <w:spacing w:line="360" w:lineRule="auto"/>
        <w:rPr>
          <w:rFonts w:hint="eastAsia" w:ascii="宋体" w:hAnsi="宋体" w:cs="宋体"/>
          <w:sz w:val="24"/>
        </w:rPr>
      </w:pPr>
      <w:r/>
      <w:bookmarkStart w:id="20" w:name="_Toc35393624"/>
      <w:r/>
      <w:bookmarkStart w:id="21" w:name="_Toc35393793"/>
      <w:r/>
      <w:bookmarkStart w:id="22" w:name="_Toc28359005"/>
      <w:r/>
      <w:bookmarkStart w:id="23" w:name="_Toc28359082"/>
      <w:r>
        <w:rPr>
          <w:rFonts w:hint="eastAsia" w:ascii="宋体" w:hAnsi="宋体" w:cs="宋体"/>
          <w:sz w:val="24"/>
        </w:rPr>
        <w:t xml:space="preserve">1.时间：</w:t>
      </w:r>
      <w:r>
        <w:rPr>
          <w:rFonts w:hint="eastAsia"/>
          <w:sz w:val="24"/>
          <w:lang w:bidi="ar"/>
        </w:rPr>
        <w:t xml:space="preserve">本公告发布之日起至 </w:t>
      </w:r>
      <w:r>
        <w:rPr>
          <w:sz w:val="24"/>
          <w:lang w:bidi="ar"/>
        </w:rPr>
        <w:t xml:space="preserve">202</w:t>
      </w:r>
      <w:r>
        <w:rPr>
          <w:rFonts w:hint="eastAsia"/>
          <w:sz w:val="24"/>
          <w:lang w:bidi="ar"/>
        </w:rPr>
        <w:t xml:space="preserve">5年</w:t>
      </w:r>
      <w:r>
        <w:rPr>
          <w:rFonts w:hint="eastAsia"/>
          <w:sz w:val="24"/>
          <w:lang w:bidi="ar"/>
        </w:rPr>
        <w:t xml:space="preserve">10</w:t>
      </w:r>
      <w:r>
        <w:rPr>
          <w:rFonts w:hint="eastAsia"/>
          <w:sz w:val="24"/>
          <w:lang w:bidi="ar"/>
        </w:rPr>
        <w:t xml:space="preserve">月</w:t>
      </w:r>
      <w:r>
        <w:rPr>
          <w:rFonts w:hint="eastAsia"/>
          <w:sz w:val="24"/>
          <w:lang w:bidi="ar"/>
        </w:rPr>
        <w:t xml:space="preserve">22</w:t>
      </w:r>
      <w:r>
        <w:rPr>
          <w:rFonts w:hint="eastAsia"/>
          <w:sz w:val="24"/>
          <w:lang w:bidi="ar"/>
        </w:rPr>
        <w:t xml:space="preserve">日</w:t>
      </w:r>
      <w:r>
        <w:rPr>
          <w:rFonts w:hint="eastAsia"/>
          <w:sz w:val="24"/>
          <w:lang w:bidi="ar"/>
        </w:rPr>
        <w:t xml:space="preserve">（北京时间）</w:t>
      </w:r>
      <w:r>
        <w:rPr>
          <w:rFonts w:hint="eastAsia" w:ascii="宋体" w:hAnsi="宋体" w:cs="宋体"/>
          <w:sz w:val="24"/>
        </w:rPr>
        <w:t xml:space="preserve">。</w:t>
      </w:r>
      <w:r/>
    </w:p>
    <w:p>
      <w:pPr>
        <w:pStyle w:val="729"/>
        <w:ind w:firstLine="540"/>
        <w:spacing w:line="360" w:lineRule="auto"/>
        <w:rPr>
          <w:sz w:val="24"/>
          <w:lang w:bidi="ar"/>
        </w:rPr>
      </w:pPr>
      <w:r>
        <w:rPr>
          <w:rFonts w:hint="eastAsia"/>
          <w:sz w:val="24"/>
          <w:lang w:bidi="ar"/>
        </w:rPr>
        <w:t xml:space="preserve">2.地点：</w:t>
      </w:r>
      <w:bookmarkStart w:id="24" w:name="_Toc38985266"/>
      <w:r>
        <w:rPr>
          <w:rFonts w:hint="eastAsia"/>
          <w:sz w:val="24"/>
          <w:lang w:bidi="ar"/>
        </w:rPr>
        <w:t xml:space="preserve">“苏采云”政府采购一体化平台</w:t>
      </w:r>
      <w:r>
        <w:rPr>
          <w:sz w:val="24"/>
          <w:lang w:bidi="ar"/>
        </w:rPr>
        <w:t xml:space="preserve"> </w:t>
      </w:r>
      <w:r>
        <w:rPr>
          <w:rFonts w:hint="eastAsia"/>
          <w:sz w:val="24"/>
          <w:lang w:bidi="ar"/>
        </w:rPr>
        <w:t xml:space="preserve">。</w:t>
      </w:r>
      <w:bookmarkEnd w:id="24"/>
      <w:r>
        <w:rPr>
          <w:sz w:val="24"/>
          <w:lang w:bidi="ar"/>
        </w:rPr>
      </w:r>
      <w:r/>
    </w:p>
    <w:p>
      <w:pPr>
        <w:pStyle w:val="807"/>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807"/>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p>
    <w:p>
      <w:pPr>
        <w:pStyle w:val="73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2"/>
      <w:r/>
      <w:bookmarkEnd w:id="23"/>
      <w:r>
        <w:rPr>
          <w:rFonts w:ascii="Times New Roman" w:hAnsi="Times New Roman" w:eastAsia="宋体"/>
          <w:sz w:val="24"/>
          <w:szCs w:val="24"/>
        </w:rPr>
        <w:t xml:space="preserve">截止时间、开标时间和地点</w:t>
      </w:r>
      <w:bookmarkEnd w:id="20"/>
      <w:r/>
      <w:bookmarkEnd w:id="21"/>
      <w:r>
        <w:rPr>
          <w:rFonts w:ascii="Times New Roman" w:hAnsi="Times New Roman" w:eastAsia="宋体"/>
          <w:sz w:val="24"/>
          <w:szCs w:val="24"/>
        </w:rPr>
      </w:r>
      <w:r/>
    </w:p>
    <w:p>
      <w:pPr>
        <w:pStyle w:val="729"/>
        <w:ind w:firstLine="480"/>
        <w:spacing w:line="360" w:lineRule="auto"/>
        <w:rPr>
          <w:rFonts w:ascii="宋体" w:hAnsi="宋体"/>
          <w:bCs/>
          <w:sz w:val="24"/>
          <w:u w:val="single"/>
        </w:rPr>
      </w:pPr>
      <w:r/>
      <w:bookmarkStart w:id="25" w:name="_Toc28359084"/>
      <w:r/>
      <w:bookmarkStart w:id="26" w:name="_Toc28359007"/>
      <w:r/>
      <w:bookmarkStart w:id="27" w:name="_Toc35393794"/>
      <w:r/>
      <w:bookmarkStart w:id="28" w:name="_Toc35393625"/>
      <w:r>
        <w:rPr>
          <w:rFonts w:hint="eastAsia"/>
          <w:sz w:val="24"/>
          <w:lang w:bidi="ar"/>
        </w:rPr>
        <w:t xml:space="preserve">1、</w:t>
      </w:r>
      <w:r>
        <w:rPr>
          <w:sz w:val="24"/>
          <w:lang w:bidi="ar"/>
        </w:rPr>
        <w:t xml:space="preserve">投标截止时间、开标时间：</w:t>
      </w:r>
      <w:r>
        <w:rPr>
          <w:sz w:val="24"/>
          <w:u w:val="single"/>
          <w:lang w:bidi="ar"/>
        </w:rPr>
        <w:t xml:space="preserve">202</w:t>
      </w:r>
      <w:r>
        <w:rPr>
          <w:rFonts w:hint="eastAsia"/>
          <w:sz w:val="24"/>
          <w:u w:val="single"/>
          <w:lang w:bidi="ar"/>
        </w:rPr>
        <w:t xml:space="preserve">5</w:t>
      </w:r>
      <w:r>
        <w:rPr>
          <w:sz w:val="24"/>
          <w:u w:val="single"/>
          <w:lang w:bidi="ar"/>
        </w:rPr>
        <w:t xml:space="preserve">年</w:t>
      </w:r>
      <w:r>
        <w:rPr>
          <w:rFonts w:hint="eastAsia"/>
          <w:sz w:val="24"/>
          <w:u w:val="single"/>
          <w:lang w:bidi="ar"/>
        </w:rPr>
        <w:t xml:space="preserve">11</w:t>
      </w:r>
      <w:r>
        <w:rPr>
          <w:sz w:val="24"/>
          <w:u w:val="single"/>
          <w:lang w:bidi="ar"/>
        </w:rPr>
        <w:t xml:space="preserve">月</w:t>
      </w:r>
      <w:r>
        <w:rPr>
          <w:rFonts w:hint="eastAsia"/>
          <w:sz w:val="24"/>
          <w:u w:val="single"/>
          <w:lang w:bidi="ar"/>
        </w:rPr>
        <w:t xml:space="preserve">10</w:t>
      </w:r>
      <w:r>
        <w:rPr>
          <w:sz w:val="24"/>
          <w:u w:val="single"/>
          <w:lang w:bidi="ar"/>
        </w:rPr>
        <w:t xml:space="preserve">日</w:t>
      </w:r>
      <w:r>
        <w:rPr>
          <w:rFonts w:hint="eastAsia"/>
          <w:sz w:val="24"/>
          <w:u w:val="single"/>
          <w:lang w:bidi="ar"/>
        </w:rPr>
        <w:t xml:space="preserve">9</w:t>
      </w:r>
      <w:r>
        <w:rPr>
          <w:rFonts w:hint="eastAsia"/>
          <w:sz w:val="24"/>
          <w:u w:val="single"/>
          <w:lang w:bidi="ar"/>
        </w:rPr>
        <w:t xml:space="preserve">:</w:t>
      </w:r>
      <w:r>
        <w:rPr>
          <w:sz w:val="24"/>
          <w:u w:val="single"/>
          <w:lang w:bidi="ar"/>
        </w:rPr>
        <w:t xml:space="preserve">00</w:t>
      </w:r>
      <w:r>
        <w:rPr>
          <w:bCs/>
          <w:sz w:val="24"/>
          <w:u w:val="single"/>
          <w:lang w:bidi="ar"/>
        </w:rPr>
        <w:t xml:space="preserve">（北京时间）</w:t>
      </w:r>
      <w:r>
        <w:rPr>
          <w:rFonts w:hint="eastAsia" w:ascii="宋体" w:hAnsi="宋体"/>
          <w:bCs/>
          <w:sz w:val="24"/>
        </w:rPr>
        <w:t xml:space="preserve">。</w:t>
      </w:r>
      <w:r>
        <w:rPr>
          <w:rFonts w:ascii="宋体" w:hAnsi="宋体"/>
          <w:bCs/>
          <w:sz w:val="24"/>
          <w:u w:val="single"/>
        </w:rPr>
      </w:r>
      <w:r/>
    </w:p>
    <w:p>
      <w:pPr>
        <w:pStyle w:val="729"/>
        <w:ind w:firstLine="480"/>
        <w:spacing w:line="360" w:lineRule="auto"/>
        <w:rPr>
          <w:rFonts w:ascii="宋体" w:hAnsi="宋体"/>
          <w:sz w:val="24"/>
        </w:rPr>
      </w:pPr>
      <w:r>
        <w:rPr>
          <w:rFonts w:hint="eastAsia" w:ascii="宋体" w:hAnsi="宋体"/>
          <w:sz w:val="24"/>
        </w:rPr>
        <w:t xml:space="preserve">2、地点：“苏采云”政府采购一体化平台 。</w:t>
      </w:r>
      <w:r>
        <w:rPr>
          <w:rFonts w:ascii="宋体" w:hAnsi="宋体"/>
          <w:sz w:val="24"/>
        </w:rPr>
      </w:r>
      <w:r/>
    </w:p>
    <w:p>
      <w:pPr>
        <w:pStyle w:val="729"/>
        <w:ind w:firstLine="482"/>
        <w:spacing w:line="360" w:lineRule="auto"/>
        <w:rPr>
          <w:b/>
          <w:bCs/>
          <w:sz w:val="24"/>
        </w:rPr>
      </w:pPr>
      <w:r>
        <w:rPr>
          <w:b/>
          <w:bCs/>
          <w:sz w:val="24"/>
        </w:rPr>
        <w:t xml:space="preserve">五、公告期限</w:t>
      </w:r>
      <w:bookmarkEnd w:id="25"/>
      <w:r/>
      <w:bookmarkEnd w:id="26"/>
      <w:r/>
      <w:bookmarkEnd w:id="27"/>
      <w:r/>
      <w:bookmarkEnd w:id="28"/>
      <w:r>
        <w:rPr>
          <w:b/>
          <w:bCs/>
          <w:sz w:val="24"/>
        </w:rPr>
      </w:r>
      <w:r/>
    </w:p>
    <w:p>
      <w:pPr>
        <w:pStyle w:val="729"/>
        <w:ind w:firstLine="480"/>
        <w:spacing w:line="360" w:lineRule="auto"/>
        <w:rPr>
          <w:sz w:val="24"/>
        </w:rPr>
      </w:pPr>
      <w:r>
        <w:rPr>
          <w:sz w:val="24"/>
        </w:rPr>
        <w:t xml:space="preserve">自本公告发布之日起5个工作日。</w:t>
      </w:r>
      <w:r/>
    </w:p>
    <w:p>
      <w:pPr>
        <w:pStyle w:val="731"/>
        <w:ind w:firstLine="482"/>
        <w:jc w:val="left"/>
        <w:spacing w:before="0" w:line="360" w:lineRule="auto"/>
        <w:rPr>
          <w:rFonts w:ascii="Times New Roman" w:hAnsi="Times New Roman" w:eastAsia="宋体"/>
          <w:sz w:val="24"/>
          <w:szCs w:val="24"/>
        </w:rPr>
      </w:pPr>
      <w:r/>
      <w:bookmarkStart w:id="29" w:name="_Toc35393795"/>
      <w:r/>
      <w:bookmarkStart w:id="30" w:name="_Toc35393626"/>
      <w:r>
        <w:rPr>
          <w:rFonts w:ascii="Times New Roman" w:hAnsi="Times New Roman" w:eastAsia="宋体"/>
          <w:sz w:val="24"/>
          <w:szCs w:val="24"/>
        </w:rPr>
        <w:t xml:space="preserve">六、其他补充事宜</w:t>
      </w:r>
      <w:bookmarkEnd w:id="29"/>
      <w:r/>
      <w:bookmarkEnd w:id="30"/>
      <w:r>
        <w:rPr>
          <w:rFonts w:ascii="Times New Roman" w:hAnsi="Times New Roman" w:eastAsia="宋体"/>
          <w:sz w:val="24"/>
          <w:szCs w:val="24"/>
        </w:rPr>
      </w:r>
      <w:r/>
    </w:p>
    <w:p>
      <w:pPr>
        <w:pStyle w:val="729"/>
        <w:ind w:firstLine="480"/>
        <w:spacing w:line="360" w:lineRule="auto"/>
        <w:rPr>
          <w:color w:val="000000"/>
          <w:sz w:val="24"/>
          <w:lang w:bidi="ar"/>
        </w:rPr>
      </w:pPr>
      <w:r>
        <w:rPr>
          <w:rFonts w:hint="eastAsia"/>
          <w:color w:val="000000"/>
          <w:sz w:val="24"/>
          <w:lang w:bidi="ar"/>
        </w:rPr>
        <w:t xml:space="preserve">1、投</w:t>
      </w:r>
      <w:r>
        <w:rPr>
          <w:rFonts w:hint="eastAsia"/>
          <w:color w:val="000000"/>
          <w:sz w:val="24"/>
          <w:lang w:bidi="ar"/>
        </w:rPr>
        <w:t xml:space="preserve">标保证金：无需缴纳。</w:t>
      </w:r>
      <w:r>
        <w:rPr>
          <w:color w:val="000000"/>
          <w:sz w:val="24"/>
          <w:lang w:bidi="ar"/>
        </w:rPr>
      </w:r>
      <w:r/>
    </w:p>
    <w:p>
      <w:pPr>
        <w:pStyle w:val="729"/>
        <w:ind w:firstLine="480"/>
        <w:spacing w:line="360" w:lineRule="auto"/>
        <w:tabs>
          <w:tab w:val="left" w:pos="900" w:leader="none"/>
        </w:tabs>
        <w:rPr>
          <w:color w:val="000000"/>
          <w:sz w:val="24"/>
          <w:lang w:bidi="ar"/>
        </w:rPr>
      </w:pPr>
      <w:r>
        <w:rPr>
          <w:rFonts w:hint="eastAsia"/>
          <w:color w:val="000000"/>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color w:val="000000"/>
          <w:sz w:val="24"/>
          <w:lang w:bidi="ar"/>
        </w:rPr>
      </w:r>
      <w:r/>
    </w:p>
    <w:p>
      <w:pPr>
        <w:pStyle w:val="729"/>
        <w:ind w:firstLine="540"/>
        <w:spacing w:line="360" w:lineRule="auto"/>
        <w:rPr>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w:t>
      </w:r>
      <w:r>
        <w:rPr>
          <w:rFonts w:hint="eastAsia"/>
          <w:color w:val="000000"/>
          <w:sz w:val="24"/>
          <w:lang w:bidi="ar"/>
        </w:rPr>
        <w:t xml:space="preserve">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lang w:bidi="ar"/>
        </w:rPr>
      </w:r>
      <w:r/>
    </w:p>
    <w:p>
      <w:pPr>
        <w:pStyle w:val="729"/>
        <w:ind w:firstLine="480"/>
        <w:spacing w:line="360" w:lineRule="auto"/>
        <w:rPr>
          <w:rFonts w:hint="eastAsia"/>
          <w:color w:val="000000"/>
          <w:sz w:val="24"/>
          <w:lang w:bidi="ar"/>
        </w:rPr>
      </w:pPr>
      <w:r>
        <w:rPr>
          <w:rFonts w:hint="eastAsia"/>
          <w:color w:val="000000"/>
          <w:sz w:val="24"/>
          <w:lang w:bidi="ar"/>
        </w:rPr>
        <w:t xml:space="preserve">4、采购公告内容与采购文件不一致的，以采购文件为准。</w:t>
      </w:r>
      <w:r/>
    </w:p>
    <w:p>
      <w:pPr>
        <w:pStyle w:val="729"/>
        <w:ind w:firstLine="480"/>
        <w:spacing w:line="360" w:lineRule="auto"/>
        <w:rPr>
          <w:b/>
          <w:bCs/>
          <w:color w:val="000000"/>
          <w:sz w:val="24"/>
          <w:lang w:bidi="ar"/>
        </w:rPr>
      </w:pPr>
      <w:r/>
      <w:bookmarkStart w:id="31" w:name="_Toc35393627"/>
      <w:r/>
      <w:bookmarkStart w:id="32" w:name="_Toc28359085"/>
      <w:r/>
      <w:bookmarkStart w:id="33" w:name="_Toc35393796"/>
      <w:r/>
      <w:bookmarkStart w:id="34" w:name="_Toc28359008"/>
      <w:r>
        <w:rPr>
          <w:b/>
          <w:bCs/>
          <w:color w:val="000000"/>
          <w:sz w:val="24"/>
          <w:lang w:bidi="ar"/>
        </w:rPr>
        <w:t xml:space="preserve">七、对本次招标提出询问，请按以下方式联系。</w:t>
      </w:r>
      <w:bookmarkEnd w:id="31"/>
      <w:r/>
      <w:bookmarkEnd w:id="32"/>
      <w:r/>
      <w:bookmarkEnd w:id="33"/>
      <w:r/>
      <w:bookmarkEnd w:id="34"/>
      <w:r>
        <w:rPr>
          <w:b/>
          <w:bCs/>
          <w:color w:val="000000"/>
          <w:sz w:val="24"/>
          <w:lang w:bidi="ar"/>
        </w:rPr>
      </w:r>
      <w:r/>
    </w:p>
    <w:p>
      <w:pPr>
        <w:pStyle w:val="729"/>
        <w:ind w:firstLine="480"/>
        <w:spacing w:line="360" w:lineRule="auto"/>
        <w:rPr>
          <w:rFonts w:hint="eastAsia"/>
          <w:b/>
          <w:bCs/>
          <w:color w:val="000000"/>
          <w:sz w:val="24"/>
          <w:lang w:bidi="ar"/>
        </w:rPr>
      </w:pPr>
      <w:r/>
      <w:bookmarkStart w:id="35" w:name="_Hlk152921742"/>
      <w:r/>
      <w:bookmarkStart w:id="36" w:name="_Toc28359010"/>
      <w:r/>
      <w:bookmarkStart w:id="37" w:name="_Toc28359087"/>
      <w:r>
        <w:rPr>
          <w:rFonts w:hint="eastAsia"/>
          <w:b/>
          <w:bCs/>
          <w:color w:val="000000"/>
          <w:sz w:val="24"/>
          <w:lang w:bidi="ar"/>
        </w:rPr>
        <w:t xml:space="preserve">1、采购人信息</w:t>
      </w:r>
      <w:r/>
    </w:p>
    <w:p>
      <w:pPr>
        <w:pStyle w:val="807"/>
        <w:ind w:firstLine="480"/>
        <w:spacing w:line="360" w:lineRule="auto"/>
        <w:rPr>
          <w:rFonts w:hint="eastAsia" w:ascii="Times New Roman" w:hAnsi="Times New Roman" w:cs="Times New Roman"/>
          <w:lang w:bidi="ar"/>
        </w:rPr>
      </w:pPr>
      <w:r>
        <w:rPr>
          <w:rFonts w:hint="eastAsia" w:ascii="Times New Roman" w:hAnsi="Times New Roman" w:cs="Times New Roman"/>
          <w:lang w:bidi="ar"/>
        </w:rPr>
        <w:t xml:space="preserve">名    称：</w:t>
      </w:r>
      <w:bookmarkStart w:id="38" w:name="_Hlk211341672"/>
      <w:r>
        <w:rPr>
          <w:rFonts w:hint="eastAsia" w:ascii="Times New Roman" w:hAnsi="Times New Roman" w:cs="Times New Roman"/>
          <w:lang w:bidi="ar"/>
        </w:rPr>
        <w:t xml:space="preserve">常州市武进区发展和改革局</w:t>
      </w:r>
      <w:bookmarkEnd w:id="38"/>
      <w:r>
        <w:rPr>
          <w:rFonts w:hint="eastAsia" w:ascii="Times New Roman" w:hAnsi="Times New Roman" w:cs="Times New Roman"/>
          <w:lang w:bidi="ar"/>
        </w:rPr>
        <w:t xml:space="preserve"> </w:t>
      </w:r>
      <w:r/>
    </w:p>
    <w:p>
      <w:pPr>
        <w:pStyle w:val="807"/>
        <w:ind w:firstLine="480"/>
        <w:spacing w:line="360" w:lineRule="auto"/>
        <w:rPr>
          <w:rFonts w:ascii="Times New Roman" w:hAnsi="Times New Roman" w:cs="Times New Roman"/>
          <w:bCs/>
          <w:color w:val="000000"/>
        </w:rPr>
      </w:pPr>
      <w:r>
        <w:rPr>
          <w:rFonts w:hint="eastAsia" w:ascii="Times New Roman" w:hAnsi="Times New Roman" w:cs="Times New Roman"/>
          <w:bCs/>
          <w:color w:val="000000"/>
        </w:rPr>
        <w:t xml:space="preserve">地  址：常州市武进区行政中心3号楼</w:t>
      </w:r>
      <w:r>
        <w:rPr>
          <w:rFonts w:hint="eastAsia" w:ascii="Times New Roman" w:hAnsi="Times New Roman" w:cs="Times New Roman"/>
          <w:bCs/>
          <w:color w:val="000000"/>
        </w:rPr>
        <w:t xml:space="preserve"> </w:t>
      </w:r>
      <w:r>
        <w:rPr>
          <w:rFonts w:ascii="Times New Roman" w:hAnsi="Times New Roman" w:cs="Times New Roman"/>
          <w:bCs/>
          <w:color w:val="000000"/>
        </w:rPr>
      </w:r>
      <w:r/>
    </w:p>
    <w:p>
      <w:pPr>
        <w:pStyle w:val="807"/>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联系人：程先生</w:t>
      </w:r>
      <w:r>
        <w:rPr>
          <w:rFonts w:hint="eastAsia" w:ascii="Times New Roman" w:hAnsi="Times New Roman" w:cs="Times New Roman"/>
          <w:bCs/>
          <w:color w:val="000000"/>
        </w:rPr>
      </w:r>
      <w:r/>
    </w:p>
    <w:p>
      <w:pPr>
        <w:pStyle w:val="807"/>
        <w:ind w:firstLine="480"/>
        <w:spacing w:line="360" w:lineRule="auto"/>
        <w:tabs>
          <w:tab w:val="left" w:pos="3684" w:leader="none"/>
        </w:tabs>
        <w:rPr>
          <w:rFonts w:hint="eastAsia" w:ascii="Times New Roman" w:hAnsi="Times New Roman" w:cs="Times New Roman"/>
          <w:bCs/>
          <w:color w:val="000000"/>
        </w:rPr>
      </w:pPr>
      <w:r>
        <w:rPr>
          <w:rFonts w:hint="eastAsia" w:ascii="Times New Roman" w:hAnsi="Times New Roman" w:cs="Times New Roman"/>
          <w:bCs/>
          <w:color w:val="000000"/>
        </w:rPr>
        <w:t xml:space="preserve">联系电话：0519-86311391  </w:t>
      </w:r>
      <w:r/>
    </w:p>
    <w:p>
      <w:pPr>
        <w:pStyle w:val="807"/>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2、代理机构信息</w:t>
      </w:r>
      <w:r/>
    </w:p>
    <w:p>
      <w:pPr>
        <w:pStyle w:val="807"/>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名    称：江苏嘉加诚工程投资咨询有限公司</w:t>
      </w:r>
      <w:r/>
    </w:p>
    <w:p>
      <w:pPr>
        <w:pStyle w:val="807"/>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地　址：常州市武进区晓柳花苑一期007号</w:t>
      </w:r>
      <w:r/>
    </w:p>
    <w:p>
      <w:pPr>
        <w:pStyle w:val="807"/>
        <w:ind w:firstLine="480"/>
        <w:spacing w:line="360" w:lineRule="auto"/>
        <w:rPr>
          <w:rFonts w:hint="eastAsia" w:ascii="Times New Roman" w:hAnsi="Times New Roman" w:cs="Times New Roman"/>
          <w:bCs/>
          <w:color w:val="000000"/>
        </w:rPr>
      </w:pPr>
      <w:r>
        <w:rPr>
          <w:rFonts w:hint="eastAsia" w:ascii="Times New Roman" w:hAnsi="Times New Roman" w:cs="Times New Roman"/>
          <w:bCs/>
          <w:color w:val="000000"/>
        </w:rPr>
        <w:t xml:space="preserve">联系方式：0519-88887808    15961256000 </w:t>
      </w:r>
      <w:r/>
    </w:p>
    <w:p>
      <w:pPr>
        <w:pStyle w:val="807"/>
        <w:ind w:firstLine="480"/>
        <w:spacing w:line="360" w:lineRule="auto"/>
        <w:tabs>
          <w:tab w:val="right" w:pos="9638" w:leader="none"/>
        </w:tabs>
        <w:rPr>
          <w:rFonts w:hint="eastAsia" w:ascii="Times New Roman" w:hAnsi="Times New Roman" w:cs="Times New Roman"/>
          <w:bCs/>
          <w:color w:val="000000"/>
        </w:rPr>
      </w:pPr>
      <w:r>
        <w:rPr>
          <w:rFonts w:hint="eastAsia" w:ascii="Times New Roman" w:hAnsi="Times New Roman" w:cs="Times New Roman"/>
          <w:bCs/>
          <w:color w:val="000000"/>
        </w:rPr>
        <w:t xml:space="preserve">联系人：王工</w:t>
      </w:r>
      <w:r>
        <w:rPr>
          <w:rFonts w:ascii="Times New Roman" w:hAnsi="Times New Roman" w:cs="Times New Roman"/>
          <w:bCs/>
          <w:color w:val="000000"/>
        </w:rPr>
        <w:tab/>
      </w:r>
      <w:r>
        <w:rPr>
          <w:rFonts w:hint="eastAsia" w:ascii="Times New Roman" w:hAnsi="Times New Roman" w:cs="Times New Roman"/>
          <w:bCs/>
          <w:color w:val="000000"/>
        </w:rPr>
      </w:r>
      <w:r/>
    </w:p>
    <w:p>
      <w:pPr>
        <w:pStyle w:val="807"/>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3</w:t>
      </w:r>
      <w:r>
        <w:rPr>
          <w:rFonts w:hint="eastAsia" w:ascii="Times New Roman" w:hAnsi="Times New Roman" w:cs="Times New Roman"/>
          <w:b/>
          <w:color w:val="000000"/>
        </w:rPr>
        <w:t xml:space="preserve">、电子化招投标技术支持电话：0519-85588210</w:t>
      </w:r>
      <w:r>
        <w:rPr>
          <w:rFonts w:ascii="Times New Roman" w:hAnsi="Times New Roman" w:cs="Times New Roman"/>
          <w:b/>
          <w:color w:val="000000"/>
        </w:rPr>
        <w:t xml:space="preserve">/ 0519-85588163</w:t>
      </w:r>
      <w:bookmarkEnd w:id="8"/>
      <w:r/>
      <w:bookmarkEnd w:id="35"/>
      <w:r>
        <w:rPr>
          <w:rFonts w:hint="eastAsia" w:ascii="Times New Roman" w:hAnsi="Times New Roman" w:cs="Times New Roman"/>
          <w:b/>
          <w:color w:val="000000"/>
        </w:rPr>
      </w:r>
      <w:r/>
    </w:p>
    <w:p>
      <w:pPr>
        <w:pStyle w:val="769"/>
        <w:ind w:firstLine="720"/>
        <w:spacing w:line="360" w:lineRule="auto"/>
        <w:rPr>
          <w:rFonts w:ascii="Times New Roman" w:hAnsi="Times New Roman"/>
          <w:sz w:val="24"/>
          <w:szCs w:val="24"/>
        </w:rPr>
      </w:pPr>
      <w:r/>
      <w:bookmarkEnd w:id="36"/>
      <w:r/>
      <w:bookmarkEnd w:id="37"/>
      <w:r>
        <w:rPr>
          <w:rFonts w:ascii="Times New Roman" w:hAnsi="Times New Roman"/>
          <w:sz w:val="24"/>
          <w:szCs w:val="24"/>
        </w:rPr>
        <w:t xml:space="preserve"> </w:t>
      </w:r>
      <w:r/>
    </w:p>
    <w:p>
      <w:pPr>
        <w:pStyle w:val="729"/>
        <w:ind w:firstLine="5880"/>
        <w:jc w:val="right"/>
        <w:spacing w:line="360" w:lineRule="auto"/>
        <w:rPr>
          <w:sz w:val="24"/>
        </w:rPr>
      </w:pPr>
      <w:r>
        <w:rPr>
          <w:sz w:val="24"/>
        </w:rPr>
      </w:r>
      <w:r/>
    </w:p>
    <w:p>
      <w:pPr>
        <w:pStyle w:val="729"/>
        <w:jc w:val="center"/>
        <w:spacing w:line="360" w:lineRule="auto"/>
        <w:rPr>
          <w:b/>
          <w:sz w:val="32"/>
          <w:szCs w:val="32"/>
        </w:rPr>
        <w:outlineLvl w:val="0"/>
      </w:pPr>
      <w:r>
        <w:rPr>
          <w:sz w:val="24"/>
        </w:rPr>
        <w:br w:type="page" w:clear="all"/>
      </w:r>
      <w:bookmarkStart w:id="39" w:name="_Toc353825548"/>
      <w:r/>
      <w:bookmarkStart w:id="40" w:name="_Toc353873938"/>
      <w:r/>
      <w:bookmarkStart w:id="41" w:name="_Toc226965856"/>
      <w:r/>
      <w:bookmarkStart w:id="42" w:name="_Toc195842950"/>
      <w:r/>
      <w:bookmarkStart w:id="43" w:name="_Toc127151777"/>
      <w:r/>
      <w:bookmarkStart w:id="44" w:name="_Toc264969275"/>
      <w:r/>
      <w:bookmarkStart w:id="45" w:name="_Toc265228423"/>
      <w:r/>
      <w:bookmarkStart w:id="46" w:name="_Toc150774783"/>
      <w:r/>
      <w:bookmarkStart w:id="47" w:name="_Toc512937850"/>
      <w:r/>
      <w:bookmarkStart w:id="48" w:name="_Toc99301420"/>
      <w:r/>
      <w:bookmarkStart w:id="49" w:name="_Toc127161488"/>
      <w:r/>
      <w:bookmarkStart w:id="50" w:name="_Toc305158854"/>
      <w:r/>
      <w:bookmarkStart w:id="51" w:name="_Toc305158928"/>
      <w:r>
        <w:rPr>
          <w:b/>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sz w:val="32"/>
          <w:szCs w:val="32"/>
        </w:rPr>
      </w:r>
      <w:r/>
    </w:p>
    <w:p>
      <w:pPr>
        <w:pStyle w:val="731"/>
        <w:spacing w:before="0" w:line="360" w:lineRule="auto"/>
        <w:tabs>
          <w:tab w:val="center" w:pos="4592" w:leader="none"/>
          <w:tab w:val="left" w:pos="7860" w:leader="none"/>
        </w:tabs>
        <w:rPr>
          <w:rFonts w:hint="eastAsia" w:ascii="Times New Roman" w:hAnsi="Times New Roman" w:eastAsia="宋体"/>
          <w:sz w:val="32"/>
          <w:szCs w:val="32"/>
        </w:rPr>
      </w:pPr>
      <w:r/>
      <w:bookmarkStart w:id="52" w:name="_Toc151193689"/>
      <w:r/>
      <w:bookmarkStart w:id="53" w:name="_Toc164608788"/>
      <w:r/>
      <w:bookmarkStart w:id="54" w:name="_Toc150480757"/>
      <w:r/>
      <w:bookmarkStart w:id="55" w:name="_Toc151193833"/>
      <w:r/>
      <w:bookmarkStart w:id="56" w:name="_Toc150509270"/>
      <w:r/>
      <w:bookmarkStart w:id="57" w:name="_Toc226309763"/>
      <w:r/>
      <w:bookmarkStart w:id="58" w:name="_Toc226337215"/>
      <w:r/>
      <w:bookmarkStart w:id="59" w:name="_Toc150774724"/>
      <w:r/>
      <w:bookmarkStart w:id="60" w:name="_Toc164351613"/>
      <w:r/>
      <w:bookmarkStart w:id="61" w:name="_Toc520356144"/>
      <w:r/>
      <w:bookmarkStart w:id="62" w:name="_Toc127151720"/>
      <w:r/>
      <w:bookmarkStart w:id="63" w:name="_Toc149720812"/>
      <w:r/>
      <w:bookmarkStart w:id="64" w:name="_Toc127161433"/>
      <w:r/>
      <w:bookmarkStart w:id="65" w:name="_Toc164229214"/>
      <w:r/>
      <w:bookmarkStart w:id="66" w:name="_Toc164229360"/>
      <w:r/>
      <w:bookmarkStart w:id="67" w:name="_Toc127151519"/>
      <w:r/>
      <w:bookmarkStart w:id="68" w:name="_Toc226965792"/>
      <w:r/>
      <w:bookmarkStart w:id="69" w:name="_Toc164608633"/>
      <w:r/>
      <w:bookmarkStart w:id="70" w:name="_Toc195842884"/>
      <w:r/>
      <w:bookmarkStart w:id="71" w:name="_Toc151193617"/>
      <w:r/>
      <w:bookmarkStart w:id="72" w:name="_Toc142311021"/>
      <w:r/>
      <w:bookmarkStart w:id="73" w:name="_Toc150774619"/>
      <w:r/>
      <w:bookmarkStart w:id="74" w:name="_Toc151193761"/>
      <w:r/>
      <w:bookmarkStart w:id="75" w:name="_Toc151190146"/>
      <w:r/>
      <w:bookmarkStart w:id="76" w:name="_Toc151193907"/>
      <w:r/>
      <w:bookmarkStart w:id="77" w:name="_Toc22696570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hint="eastAsia" w:ascii="Times New Roman" w:hAnsi="Times New Roman" w:eastAsia="宋体"/>
          <w:sz w:val="32"/>
          <w:szCs w:val="32"/>
        </w:rPr>
      </w:r>
      <w:r/>
    </w:p>
    <w:tbl>
      <w:tblPr>
        <w:tblW w:w="1033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1686"/>
        <w:gridCol w:w="7730"/>
      </w:tblGrid>
      <w:tr>
        <w:trPr>
          <w:trHeight w:val="366"/>
          <w:tblHeader/>
        </w:trPr>
        <w:tc>
          <w:tcPr>
            <w:tcW w:w="920" w:type="dxa"/>
            <w:vAlign w:val="center"/>
            <w:textDirection w:val="lrTb"/>
            <w:noWrap w:val="false"/>
          </w:tcPr>
          <w:p>
            <w:pPr>
              <w:pStyle w:val="729"/>
              <w:jc w:val="center"/>
              <w:rPr>
                <w:rFonts w:hint="eastAsia" w:ascii="宋体" w:hAnsi="宋体" w:cs="宋体"/>
                <w:b/>
                <w:bCs/>
                <w:sz w:val="24"/>
              </w:rPr>
            </w:pPr>
            <w:r>
              <w:rPr>
                <w:rFonts w:hint="eastAsia" w:ascii="宋体" w:hAnsi="宋体" w:cs="宋体"/>
                <w:b/>
                <w:sz w:val="24"/>
              </w:rPr>
              <w:t xml:space="preserve">序号</w:t>
            </w:r>
            <w:r>
              <w:rPr>
                <w:rFonts w:hint="eastAsia" w:ascii="宋体" w:hAnsi="宋体" w:cs="宋体"/>
                <w:b/>
                <w:bCs/>
                <w:sz w:val="24"/>
              </w:rPr>
            </w:r>
            <w:r/>
          </w:p>
        </w:tc>
        <w:tc>
          <w:tcPr>
            <w:tcW w:w="1686" w:type="dxa"/>
            <w:vAlign w:val="center"/>
            <w:textDirection w:val="lrTb"/>
            <w:noWrap w:val="false"/>
          </w:tcPr>
          <w:p>
            <w:pPr>
              <w:pStyle w:val="729"/>
              <w:jc w:val="center"/>
              <w:rPr>
                <w:rFonts w:hint="eastAsia" w:ascii="宋体" w:hAnsi="宋体" w:cs="宋体"/>
                <w:b/>
                <w:bCs/>
                <w:sz w:val="24"/>
              </w:rPr>
            </w:pPr>
            <w:r>
              <w:rPr>
                <w:rFonts w:hint="eastAsia" w:ascii="宋体" w:hAnsi="宋体" w:cs="宋体"/>
                <w:b/>
                <w:bCs/>
                <w:sz w:val="24"/>
              </w:rPr>
              <w:t xml:space="preserve">条目</w:t>
            </w:r>
            <w:r/>
          </w:p>
        </w:tc>
        <w:tc>
          <w:tcPr>
            <w:tcW w:w="7730" w:type="dxa"/>
            <w:vAlign w:val="center"/>
            <w:textDirection w:val="lrTb"/>
            <w:noWrap w:val="false"/>
          </w:tcPr>
          <w:p>
            <w:pPr>
              <w:pStyle w:val="729"/>
              <w:jc w:val="center"/>
              <w:rPr>
                <w:rFonts w:hint="eastAsia" w:ascii="宋体" w:hAnsi="宋体" w:cs="宋体"/>
                <w:b/>
                <w:bCs/>
                <w:sz w:val="24"/>
              </w:rPr>
            </w:pPr>
            <w:r>
              <w:rPr>
                <w:rFonts w:hint="eastAsia" w:ascii="宋体" w:hAnsi="宋体" w:cs="宋体"/>
                <w:b/>
                <w:bCs/>
                <w:sz w:val="24"/>
              </w:rPr>
              <w:t xml:space="preserve">内容</w:t>
            </w:r>
            <w:r/>
          </w:p>
        </w:tc>
      </w:tr>
      <w:tr>
        <w:trPr>
          <w:trHeight w:val="506"/>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1</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项目属性</w:t>
            </w:r>
            <w:r/>
          </w:p>
        </w:tc>
        <w:tc>
          <w:tcPr>
            <w:tcW w:w="7730" w:type="dxa"/>
            <w:vAlign w:val="center"/>
            <w:textDirection w:val="lrTb"/>
            <w:noWrap w:val="false"/>
          </w:tcPr>
          <w:p>
            <w:pPr>
              <w:pStyle w:val="729"/>
              <w:jc w:val="left"/>
              <w:spacing w:line="360" w:lineRule="exact"/>
              <w:rPr>
                <w:rFonts w:hint="eastAsia" w:ascii="宋体" w:hAnsi="宋体" w:cs="宋体"/>
                <w:color w:val="000000"/>
                <w:sz w:val="24"/>
                <w:u w:val="single"/>
              </w:rPr>
            </w:pPr>
            <w:r>
              <w:rPr>
                <w:rFonts w:hint="eastAsia" w:ascii="宋体" w:hAnsi="宋体" w:cs="宋体"/>
                <w:color w:val="000000"/>
                <w:sz w:val="24"/>
              </w:rPr>
              <w:t xml:space="preserve">项目属性：货物 </w:t>
            </w:r>
            <w:r>
              <w:rPr>
                <w:rFonts w:hint="eastAsia" w:ascii="宋体" w:hAnsi="宋体" w:cs="宋体"/>
                <w:color w:val="000000"/>
                <w:sz w:val="24"/>
                <w:u w:val="single"/>
              </w:rPr>
            </w:r>
            <w:r/>
          </w:p>
        </w:tc>
      </w:tr>
      <w:tr>
        <w:trPr>
          <w:trHeight w:val="426"/>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2</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科研仪器设备</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是否属于科研仪器设备采购项目：否</w:t>
            </w:r>
            <w:r/>
          </w:p>
        </w:tc>
      </w:tr>
      <w:tr>
        <w:trPr>
          <w:trHeight w:val="383"/>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3</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核心产品</w:t>
            </w:r>
            <w:r/>
          </w:p>
        </w:tc>
        <w:tc>
          <w:tcPr>
            <w:tcW w:w="7730" w:type="dxa"/>
            <w:vAlign w:val="center"/>
            <w:textDirection w:val="lrTb"/>
            <w:noWrap w:val="false"/>
          </w:tcPr>
          <w:p>
            <w:pPr>
              <w:pStyle w:val="729"/>
              <w:jc w:val="left"/>
              <w:spacing w:line="360" w:lineRule="exact"/>
              <w:rPr>
                <w:rFonts w:ascii="宋体" w:hAnsi="宋体" w:cs="宋体"/>
                <w:color w:val="000000"/>
                <w:sz w:val="24"/>
              </w:rPr>
            </w:pPr>
            <w:r>
              <w:rPr>
                <w:rFonts w:ascii="宋体" w:hAnsi="宋体" w:cs="宋体"/>
                <w:color w:val="000000"/>
                <w:sz w:val="24"/>
              </w:rPr>
              <w:t xml:space="preserve">本项目核心产品：适用</w:t>
            </w:r>
            <w:r/>
          </w:p>
          <w:p>
            <w:pPr>
              <w:pStyle w:val="729"/>
              <w:jc w:val="left"/>
              <w:spacing w:line="360" w:lineRule="exact"/>
              <w:rPr>
                <w:rFonts w:ascii="宋体" w:hAnsi="宋体" w:cs="宋体"/>
                <w:color w:val="000000"/>
                <w:sz w:val="24"/>
              </w:rPr>
            </w:pPr>
            <w:r>
              <w:rPr>
                <w:rFonts w:ascii="宋体" w:hAnsi="宋体" w:cs="宋体"/>
                <w:color w:val="000000"/>
                <w:sz w:val="24"/>
              </w:rPr>
              <w:t xml:space="preserve">本项目为非单一产品采购项目</w:t>
            </w:r>
            <w:r>
              <w:rPr>
                <w:rFonts w:hint="eastAsia" w:ascii="宋体" w:hAnsi="宋体" w:cs="宋体"/>
                <w:color w:val="000000"/>
                <w:sz w:val="24"/>
              </w:rPr>
              <w:t xml:space="preserve">，</w:t>
            </w:r>
            <w:r>
              <w:rPr>
                <w:rFonts w:ascii="宋体" w:hAnsi="宋体" w:cs="宋体"/>
                <w:color w:val="000000"/>
                <w:sz w:val="24"/>
              </w:rPr>
              <w:t xml:space="preserve">核心产品</w:t>
            </w:r>
            <w:r>
              <w:rPr>
                <w:rFonts w:ascii="宋体" w:hAnsi="宋体" w:cs="宋体"/>
                <w:sz w:val="24"/>
              </w:rPr>
              <w:t xml:space="preserve">为：</w:t>
            </w:r>
            <w:r>
              <w:rPr>
                <w:rFonts w:hint="eastAsia" w:ascii="宋体" w:hAnsi="宋体" w:cs="宋体"/>
                <w:b/>
                <w:bCs/>
                <w:sz w:val="24"/>
                <w:u w:val="single"/>
              </w:rPr>
              <w:t xml:space="preserve">01包</w:t>
            </w:r>
            <w:r>
              <w:rPr>
                <w:rFonts w:hint="eastAsia" w:ascii="宋体" w:hAnsi="宋体" w:cs="宋体"/>
                <w:b/>
                <w:bCs/>
                <w:sz w:val="24"/>
                <w:u w:val="single"/>
              </w:rPr>
              <w:t xml:space="preserve">：</w:t>
            </w:r>
            <w:r>
              <w:rPr>
                <w:rFonts w:hint="eastAsia" w:ascii="宋体" w:hAnsi="宋体" w:cs="宋体"/>
                <w:b/>
                <w:bCs/>
                <w:color w:val="000000"/>
                <w:sz w:val="24"/>
                <w:u w:val="single"/>
              </w:rPr>
              <w:t xml:space="preserve">夏款抢险救援服、卫星电话</w:t>
            </w:r>
            <w:r>
              <w:rPr>
                <w:rFonts w:hint="eastAsia" w:ascii="宋体" w:hAnsi="宋体" w:cs="宋体"/>
                <w:b/>
                <w:bCs/>
                <w:sz w:val="24"/>
              </w:rPr>
              <w:t xml:space="preserve">；</w:t>
            </w:r>
            <w:r>
              <w:rPr>
                <w:rFonts w:hint="eastAsia" w:ascii="宋体" w:hAnsi="宋体" w:cs="宋体"/>
                <w:b/>
                <w:bCs/>
                <w:sz w:val="24"/>
                <w:u w:val="single"/>
              </w:rPr>
              <w:t xml:space="preserve">0</w:t>
            </w:r>
            <w:r>
              <w:rPr>
                <w:rFonts w:hint="eastAsia" w:ascii="宋体" w:hAnsi="宋体" w:cs="宋体"/>
                <w:b/>
                <w:bCs/>
                <w:color w:val="000000"/>
                <w:sz w:val="24"/>
                <w:u w:val="single"/>
              </w:rPr>
              <w:t xml:space="preserve">2包</w:t>
            </w:r>
            <w:r>
              <w:rPr>
                <w:rFonts w:hint="eastAsia" w:ascii="宋体" w:hAnsi="宋体" w:cs="宋体"/>
                <w:b/>
                <w:bCs/>
                <w:sz w:val="24"/>
                <w:u w:val="single"/>
              </w:rPr>
              <w:t xml:space="preserve">“1</w:t>
            </w:r>
            <w:r>
              <w:rPr>
                <w:rFonts w:hint="eastAsia" w:ascii="宋体" w:hAnsi="宋体" w:cs="宋体"/>
                <w:b/>
                <w:bCs/>
                <w:sz w:val="24"/>
                <w:u w:val="single"/>
              </w:rPr>
              <w:t xml:space="preserve">6m2”充气帐篷、</w:t>
            </w:r>
            <w:r>
              <w:rPr>
                <w:rFonts w:hint="eastAsia" w:ascii="宋体" w:hAnsi="宋体" w:cs="宋体"/>
                <w:b/>
                <w:bCs/>
                <w:sz w:val="24"/>
                <w:u w:val="single"/>
              </w:rPr>
              <w:t xml:space="preserve">折叠桌椅（铝合金）</w:t>
            </w:r>
            <w:r>
              <w:rPr>
                <w:rFonts w:hint="eastAsia" w:ascii="宋体" w:hAnsi="宋体" w:cs="宋体"/>
                <w:b/>
                <w:bCs/>
                <w:sz w:val="24"/>
                <w:u w:val="single"/>
              </w:rPr>
              <w:t xml:space="preserve">、多功能睡袋、防潮垫</w:t>
            </w:r>
            <w:r>
              <w:rPr>
                <w:rFonts w:ascii="宋体" w:hAnsi="宋体" w:cs="宋体"/>
                <w:b/>
                <w:bCs/>
                <w:sz w:val="24"/>
                <w:u w:val="single"/>
              </w:rPr>
              <w:t xml:space="preserve">。</w:t>
            </w:r>
            <w:r>
              <w:rPr>
                <w:rFonts w:ascii="宋体" w:hAnsi="宋体" w:cs="宋体"/>
                <w:color w:val="000000"/>
                <w:sz w:val="24"/>
              </w:rPr>
            </w:r>
            <w:r/>
          </w:p>
        </w:tc>
      </w:tr>
      <w:tr>
        <w:trPr>
          <w:trHeight w:val="383"/>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4</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现场考察</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不组织，自行踏勘；</w:t>
            </w:r>
            <w:r/>
          </w:p>
        </w:tc>
      </w:tr>
      <w:tr>
        <w:trPr>
          <w:trHeight w:val="383"/>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5</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开标前答疑会</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不召开</w:t>
            </w:r>
            <w:r/>
          </w:p>
        </w:tc>
      </w:tr>
      <w:tr>
        <w:trPr>
          <w:trHeight w:val="383"/>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6</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样品</w:t>
            </w:r>
            <w:r/>
          </w:p>
        </w:tc>
        <w:tc>
          <w:tcPr>
            <w:tcW w:w="7730" w:type="dxa"/>
            <w:vAlign w:val="center"/>
            <w:textDirection w:val="lrTb"/>
            <w:noWrap w:val="false"/>
          </w:tcPr>
          <w:p>
            <w:pPr>
              <w:pStyle w:val="729"/>
              <w:jc w:val="left"/>
              <w:spacing w:line="360" w:lineRule="exact"/>
              <w:rPr>
                <w:sz w:val="24"/>
              </w:rPr>
            </w:pPr>
            <w:r>
              <w:rPr>
                <w:sz w:val="24"/>
              </w:rPr>
              <w:t xml:space="preserve">投标样品递交：</w:t>
            </w:r>
            <w:r>
              <w:rPr>
                <w:rFonts w:hint="eastAsia"/>
                <w:sz w:val="24"/>
                <w:u w:val="single"/>
              </w:rPr>
              <w:t xml:space="preserve">0</w:t>
            </w:r>
            <w:r>
              <w:rPr>
                <w:rFonts w:hint="eastAsia"/>
                <w:sz w:val="24"/>
                <w:u w:val="single"/>
              </w:rPr>
              <w:t xml:space="preserve">2</w:t>
            </w:r>
            <w:r>
              <w:rPr>
                <w:rFonts w:hint="eastAsia"/>
                <w:sz w:val="24"/>
                <w:u w:val="single"/>
              </w:rPr>
              <w:t xml:space="preserve">包提供</w:t>
            </w:r>
            <w:r>
              <w:rPr>
                <w:rFonts w:hint="eastAsia"/>
                <w:sz w:val="24"/>
              </w:rPr>
              <w:t xml:space="preserve">，具体</w:t>
            </w:r>
            <w:r>
              <w:rPr>
                <w:sz w:val="24"/>
              </w:rPr>
              <w:t xml:space="preserve">要求如下：</w:t>
            </w:r>
            <w:r/>
          </w:p>
          <w:p>
            <w:pPr>
              <w:pStyle w:val="729"/>
              <w:jc w:val="left"/>
              <w:spacing w:line="360" w:lineRule="exact"/>
              <w:rPr>
                <w:sz w:val="24"/>
              </w:rPr>
            </w:pPr>
            <w:r>
              <w:rPr>
                <w:rFonts w:hint="eastAsia"/>
                <w:sz w:val="24"/>
              </w:rPr>
              <w:t xml:space="preserve">（1）样品递交要求：样品必须在2025</w:t>
            </w:r>
            <w:r>
              <w:rPr>
                <w:rFonts w:hint="eastAsia"/>
                <w:sz w:val="24"/>
              </w:rPr>
              <w:t xml:space="preserve">年1</w:t>
            </w:r>
            <w:r>
              <w:rPr>
                <w:rFonts w:hint="eastAsia"/>
                <w:sz w:val="24"/>
              </w:rPr>
              <w:t xml:space="preserve">1</w:t>
            </w:r>
            <w:r>
              <w:rPr>
                <w:rFonts w:hint="eastAsia"/>
                <w:sz w:val="24"/>
              </w:rPr>
              <w:t xml:space="preserve">月</w:t>
            </w:r>
            <w:r>
              <w:rPr>
                <w:rFonts w:hint="eastAsia"/>
                <w:sz w:val="24"/>
              </w:rPr>
              <w:t xml:space="preserve">07</w:t>
            </w:r>
            <w:r>
              <w:rPr>
                <w:rFonts w:hint="eastAsia"/>
                <w:sz w:val="24"/>
              </w:rPr>
              <w:t xml:space="preserve">日16:</w:t>
            </w:r>
            <w:r>
              <w:rPr>
                <w:rFonts w:hint="eastAsia"/>
                <w:sz w:val="24"/>
              </w:rPr>
              <w:t xml:space="preserve">0</w:t>
            </w:r>
            <w:r>
              <w:rPr>
                <w:rFonts w:hint="eastAsia"/>
                <w:sz w:val="24"/>
              </w:rPr>
              <w:t xml:space="preserve">0前送</w:t>
            </w:r>
            <w:r>
              <w:rPr>
                <w:rFonts w:hint="eastAsia"/>
                <w:sz w:val="24"/>
              </w:rPr>
              <w:t xml:space="preserve">至江苏嘉加诚工程投资咨询有限公司常州分公司二楼开标室（常州市武进区晓柳花苑一期007号），并至采购部做好样品送达登记工作，联系人：王工，电话：</w:t>
            </w:r>
            <w:r>
              <w:rPr>
                <w:rFonts w:hint="eastAsia"/>
                <w:sz w:val="24"/>
                <w:u w:val="single"/>
              </w:rPr>
              <w:t xml:space="preserve">15961</w:t>
            </w:r>
            <w:r>
              <w:rPr>
                <w:rFonts w:hint="eastAsia"/>
                <w:sz w:val="24"/>
                <w:u w:val="single"/>
              </w:rPr>
              <w:t xml:space="preserve">256000</w:t>
            </w:r>
            <w:r>
              <w:rPr>
                <w:rFonts w:hint="eastAsia"/>
                <w:sz w:val="24"/>
              </w:rPr>
              <w:t xml:space="preserve">，逾期将不予接收。</w:t>
            </w:r>
            <w:r>
              <w:rPr>
                <w:sz w:val="24"/>
              </w:rPr>
            </w:r>
            <w:r/>
          </w:p>
          <w:p>
            <w:pPr>
              <w:pStyle w:val="729"/>
              <w:jc w:val="left"/>
              <w:spacing w:line="360" w:lineRule="exact"/>
              <w:rPr>
                <w:sz w:val="24"/>
              </w:rPr>
            </w:pPr>
            <w:r>
              <w:rPr>
                <w:rFonts w:hint="eastAsia"/>
                <w:sz w:val="24"/>
              </w:rPr>
              <w:t xml:space="preserve">（2）中标（成交）单位样品留样封存，未中标（成交）单位样品自开标之日起三天内由投标人运回。</w:t>
            </w:r>
            <w:r>
              <w:rPr>
                <w:sz w:val="24"/>
              </w:rPr>
            </w:r>
            <w:r/>
          </w:p>
          <w:p>
            <w:pPr>
              <w:pStyle w:val="729"/>
              <w:jc w:val="left"/>
              <w:spacing w:line="360" w:lineRule="exact"/>
              <w:rPr>
                <w:sz w:val="24"/>
              </w:rPr>
            </w:pPr>
            <w:r>
              <w:rPr>
                <w:rFonts w:hint="eastAsia"/>
                <w:sz w:val="24"/>
              </w:rPr>
              <w:t xml:space="preserve">（3）样品不能出现制造厂或投标人的标志、标记。</w:t>
            </w:r>
            <w:r>
              <w:rPr>
                <w:sz w:val="24"/>
              </w:rPr>
            </w:r>
            <w:r/>
          </w:p>
          <w:p>
            <w:pPr>
              <w:pStyle w:val="729"/>
              <w:jc w:val="left"/>
              <w:spacing w:line="360" w:lineRule="exact"/>
              <w:rPr>
                <w:sz w:val="24"/>
              </w:rPr>
            </w:pPr>
            <w:r>
              <w:rPr>
                <w:rFonts w:hint="eastAsia"/>
                <w:sz w:val="24"/>
              </w:rPr>
              <w:t xml:space="preserve">（4）样品递交及退还必须出具投标人的授权委托书及被授权委托人身份证。</w:t>
            </w:r>
            <w:r>
              <w:rPr>
                <w:sz w:val="24"/>
              </w:rPr>
            </w:r>
            <w:r/>
          </w:p>
          <w:p>
            <w:pPr>
              <w:pStyle w:val="729"/>
              <w:jc w:val="left"/>
              <w:spacing w:line="360" w:lineRule="exact"/>
              <w:rPr>
                <w:rFonts w:hint="eastAsia" w:ascii="宋体" w:hAnsi="宋体" w:cs="宋体"/>
                <w:sz w:val="24"/>
              </w:rPr>
            </w:pPr>
            <w:r>
              <w:rPr>
                <w:rFonts w:hint="eastAsia"/>
                <w:sz w:val="24"/>
              </w:rPr>
              <w:t xml:space="preserve">（5）样品制作及运输费用由投标人自行承担。</w:t>
            </w:r>
            <w:r>
              <w:rPr>
                <w:rFonts w:hint="eastAsia" w:ascii="宋体" w:hAnsi="宋体" w:cs="宋体"/>
                <w:sz w:val="24"/>
              </w:rPr>
            </w:r>
            <w:r/>
          </w:p>
        </w:tc>
      </w:tr>
      <w:tr>
        <w:trPr>
          <w:trHeight w:val="756"/>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7</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是否专门面向中小企业</w:t>
            </w:r>
            <w:r/>
          </w:p>
        </w:tc>
        <w:tc>
          <w:tcPr>
            <w:tcW w:w="7730" w:type="dxa"/>
            <w:vAlign w:val="center"/>
            <w:textDirection w:val="lrTb"/>
            <w:noWrap w:val="false"/>
          </w:tcPr>
          <w:p>
            <w:pPr>
              <w:pStyle w:val="729"/>
              <w:jc w:val="left"/>
              <w:rPr>
                <w:rFonts w:hint="eastAsia" w:ascii="宋体" w:hAnsi="宋体" w:cs="宋体"/>
                <w:color w:val="000000"/>
                <w:sz w:val="24"/>
              </w:rPr>
            </w:pPr>
            <w:r>
              <w:rPr>
                <w:rFonts w:hint="eastAsia"/>
                <w:sz w:val="24"/>
              </w:rPr>
              <w:t xml:space="preserve">本项目专门面向中小企业采购,</w:t>
            </w:r>
            <w:r>
              <w:rPr>
                <w:rFonts w:hint="eastAsia"/>
              </w:rPr>
              <w:t xml:space="preserve"> </w:t>
            </w:r>
            <w:r>
              <w:rPr>
                <w:rFonts w:hint="eastAsia"/>
                <w:sz w:val="24"/>
              </w:rPr>
              <w:t xml:space="preserve">在评审时不再对小微企业执行价格评审优惠政策。</w:t>
            </w:r>
            <w:r>
              <w:rPr>
                <w:rFonts w:hint="eastAsia" w:ascii="宋体" w:hAnsi="宋体" w:cs="宋体"/>
                <w:color w:val="000000"/>
                <w:sz w:val="24"/>
              </w:rPr>
            </w:r>
            <w:r/>
          </w:p>
        </w:tc>
      </w:tr>
      <w:tr>
        <w:trPr>
          <w:trHeight w:val="1876"/>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8</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标的所属行业</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本项目属于</w:t>
            </w:r>
            <w:r>
              <w:rPr>
                <w:rFonts w:hint="eastAsia" w:ascii="宋体" w:hAnsi="宋体" w:cs="宋体"/>
                <w:b/>
                <w:bCs/>
                <w:color w:val="000000"/>
                <w:sz w:val="24"/>
                <w:u w:val="single"/>
              </w:rPr>
              <w:t xml:space="preserve">货物类</w:t>
            </w:r>
            <w:r>
              <w:rPr>
                <w:rFonts w:hint="eastAsia" w:ascii="宋体" w:hAnsi="宋体" w:cs="宋体"/>
                <w:color w:val="000000"/>
                <w:sz w:val="24"/>
              </w:rPr>
              <w:t xml:space="preserve">，采购标的对应的中小企业划分标准所属行业</w:t>
            </w:r>
            <w:r>
              <w:rPr>
                <w:rFonts w:hint="eastAsia" w:ascii="宋体" w:hAnsi="宋体" w:cs="宋体"/>
                <w:b/>
                <w:bCs/>
                <w:color w:val="000000"/>
                <w:sz w:val="24"/>
              </w:rPr>
              <w:t xml:space="preserve">：</w:t>
            </w:r>
            <w:r>
              <w:rPr>
                <w:rFonts w:hint="eastAsia" w:ascii="宋体" w:hAnsi="宋体" w:cs="宋体"/>
                <w:b/>
                <w:bCs/>
                <w:color w:val="000000"/>
                <w:sz w:val="24"/>
                <w:u w:val="single"/>
              </w:rPr>
              <w:t xml:space="preserve">工业</w:t>
            </w:r>
            <w:r>
              <w:rPr>
                <w:rFonts w:hint="eastAsia" w:ascii="宋体" w:hAnsi="宋体" w:cs="宋体"/>
                <w:color w:val="000000"/>
                <w:sz w:val="24"/>
              </w:rPr>
              <w:t xml:space="preserve">（《关于印发中小企业划型标准规定的通知》工信部联企业【2011】300号）。在填</w:t>
            </w:r>
            <w:r>
              <w:rPr>
                <w:rFonts w:hint="eastAsia" w:ascii="宋体" w:hAnsi="宋体" w:cs="宋体"/>
                <w:color w:val="000000"/>
                <w:sz w:val="24"/>
              </w:rPr>
              <w:t xml:space="preserve">写时请正确选择中小企业声明函类型（货物、服务或工程），如填写错误或未填报则会导致资格审查不通过（专门面向中小企业采购）或报价不作相应扣除。</w:t>
            </w:r>
            <w:r/>
          </w:p>
        </w:tc>
      </w:tr>
      <w:tr>
        <w:trPr>
          <w:trHeight w:val="431"/>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9</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color w:val="000000"/>
                <w:sz w:val="24"/>
              </w:rPr>
              <w:t xml:space="preserve">履约保证金</w:t>
            </w:r>
            <w:r>
              <w:rPr>
                <w:rFonts w:hint="eastAsia" w:ascii="宋体" w:hAnsi="宋体" w:cs="宋体"/>
                <w:color w:val="000000"/>
                <w:sz w:val="24"/>
              </w:rPr>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color w:val="000000"/>
                <w:sz w:val="24"/>
              </w:rPr>
              <w:t xml:space="preserve">不收取</w:t>
            </w:r>
            <w:r>
              <w:rPr>
                <w:rFonts w:hint="eastAsia" w:ascii="宋体" w:hAnsi="宋体" w:cs="宋体"/>
                <w:color w:val="000000"/>
                <w:sz w:val="24"/>
              </w:rPr>
            </w:r>
            <w:r/>
          </w:p>
        </w:tc>
      </w:tr>
      <w:tr>
        <w:trPr>
          <w:trHeight w:val="480"/>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10</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投标有效期</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自提交投标文件的截止之日起算</w:t>
            </w:r>
            <w:r>
              <w:rPr>
                <w:rFonts w:hint="eastAsia" w:ascii="宋体" w:hAnsi="宋体" w:cs="宋体"/>
                <w:color w:val="000000"/>
                <w:sz w:val="24"/>
                <w:u w:val="single"/>
              </w:rPr>
              <w:t xml:space="preserve">60</w:t>
            </w:r>
            <w:r>
              <w:rPr>
                <w:rFonts w:hint="eastAsia" w:ascii="宋体" w:hAnsi="宋体" w:cs="宋体"/>
                <w:color w:val="000000"/>
                <w:sz w:val="24"/>
              </w:rPr>
              <w:t xml:space="preserve">日历天。</w:t>
            </w:r>
            <w:r/>
          </w:p>
        </w:tc>
      </w:tr>
      <w:tr>
        <w:trPr>
          <w:trHeight w:val="383"/>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11</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分包</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本项目的非主体、非关键性工作是否允许分包：不允许</w:t>
            </w:r>
            <w:r/>
          </w:p>
        </w:tc>
      </w:tr>
      <w:tr>
        <w:trPr>
          <w:trHeight w:val="2249"/>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12</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询问</w:t>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color w:val="000000"/>
                <w:sz w:val="24"/>
              </w:rPr>
              <w:t xml:space="preserve">已登记参加本项目的供应商对招标文件如有疑问，可于2024年1</w:t>
            </w:r>
            <w:r>
              <w:rPr>
                <w:rFonts w:hint="eastAsia" w:ascii="宋体" w:hAnsi="宋体" w:cs="宋体"/>
                <w:color w:val="000000"/>
                <w:sz w:val="24"/>
              </w:rPr>
              <w:t xml:space="preserve">0</w:t>
            </w:r>
            <w:r>
              <w:rPr>
                <w:rFonts w:hint="eastAsia" w:ascii="宋体" w:hAnsi="宋体" w:cs="宋体"/>
                <w:color w:val="000000"/>
                <w:sz w:val="24"/>
              </w:rPr>
              <w:t xml:space="preserve">月</w:t>
            </w:r>
            <w:r>
              <w:rPr>
                <w:rFonts w:hint="eastAsia" w:ascii="宋体" w:hAnsi="宋体" w:cs="宋体"/>
                <w:color w:val="000000"/>
                <w:sz w:val="24"/>
              </w:rPr>
              <w:t xml:space="preserve">23</w:t>
            </w:r>
            <w:r>
              <w:rPr>
                <w:rFonts w:hint="eastAsia" w:ascii="宋体" w:hAnsi="宋体" w:cs="宋体"/>
                <w:color w:val="000000"/>
                <w:sz w:val="24"/>
              </w:rPr>
              <w:t xml:space="preserve">日</w:t>
            </w:r>
            <w:r>
              <w:rPr>
                <w:rFonts w:hint="eastAsia" w:ascii="宋体" w:hAnsi="宋体" w:cs="宋体"/>
                <w:color w:val="000000"/>
                <w:sz w:val="24"/>
              </w:rPr>
              <w:t xml:space="preserve">1</w:t>
            </w:r>
            <w:r>
              <w:rPr>
                <w:rFonts w:hint="eastAsia" w:ascii="宋体" w:hAnsi="宋体" w:cs="宋体"/>
                <w:color w:val="000000"/>
                <w:sz w:val="24"/>
              </w:rPr>
              <w:t xml:space="preserve">1</w:t>
            </w:r>
            <w:r>
              <w:rPr>
                <w:rFonts w:hint="eastAsia" w:ascii="宋体" w:hAnsi="宋体" w:cs="宋体"/>
                <w:color w:val="000000"/>
                <w:sz w:val="24"/>
              </w:rPr>
              <w:t xml:space="preserve">时00分前将相关疑问（格式详见招标文件中“关于招标文件的询问内容”）发送至邮箱（</w:t>
            </w:r>
            <w:r>
              <w:rPr>
                <w:rFonts w:ascii="宋体" w:hAnsi="宋体" w:cs="宋体"/>
                <w:color w:val="000000"/>
                <w:sz w:val="24"/>
              </w:rPr>
              <w:t xml:space="preserve">jjc_cz</w:t>
            </w:r>
            <w:r>
              <w:rPr>
                <w:rFonts w:ascii="宋体" w:hAnsi="宋体" w:cs="宋体"/>
                <w:color w:val="000000"/>
                <w:sz w:val="24"/>
              </w:rPr>
              <w:t xml:space="preserve">123@163.com</w:t>
            </w:r>
            <w:r>
              <w:rPr>
                <w:rFonts w:hint="eastAsia" w:ascii="宋体" w:hAnsi="宋体" w:cs="宋体"/>
                <w:color w:val="000000"/>
                <w:sz w:val="24"/>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trHeight w:val="519"/>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13</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color w:val="000000"/>
                <w:sz w:val="24"/>
              </w:rPr>
              <w:t xml:space="preserve">联系方式</w:t>
            </w:r>
            <w:r/>
          </w:p>
        </w:tc>
        <w:tc>
          <w:tcPr>
            <w:tcW w:w="7730" w:type="dxa"/>
            <w:vAlign w:val="center"/>
            <w:textDirection w:val="lrTb"/>
            <w:noWrap w:val="false"/>
          </w:tcPr>
          <w:p>
            <w:pPr>
              <w:pStyle w:val="729"/>
              <w:jc w:val="left"/>
              <w:spacing w:line="360" w:lineRule="exact"/>
              <w:rPr>
                <w:rFonts w:ascii="宋体" w:hAnsi="宋体" w:cs="宋体"/>
                <w:color w:val="000000"/>
                <w:sz w:val="24"/>
              </w:rPr>
            </w:pPr>
            <w:r>
              <w:rPr>
                <w:rFonts w:hint="eastAsia" w:ascii="宋体" w:hAnsi="宋体" w:cs="宋体"/>
                <w:color w:val="000000"/>
                <w:sz w:val="24"/>
              </w:rPr>
              <w:t xml:space="preserve">接收质疑的联系方式：</w:t>
            </w:r>
            <w:r>
              <w:rPr>
                <w:rFonts w:ascii="宋体" w:hAnsi="宋体" w:cs="宋体"/>
                <w:color w:val="000000"/>
                <w:sz w:val="24"/>
              </w:rPr>
            </w:r>
            <w:r/>
          </w:p>
          <w:p>
            <w:pPr>
              <w:pStyle w:val="729"/>
              <w:jc w:val="left"/>
              <w:spacing w:line="360" w:lineRule="exact"/>
              <w:rPr>
                <w:rFonts w:hint="eastAsia" w:ascii="宋体" w:hAnsi="宋体" w:cs="宋体"/>
                <w:color w:val="000000"/>
                <w:sz w:val="24"/>
              </w:rPr>
            </w:pPr>
            <w:r>
              <w:rPr>
                <w:rFonts w:hint="eastAsia" w:ascii="宋体" w:hAnsi="宋体" w:cs="宋体"/>
              </w:rPr>
              <w:t xml:space="preserve">（</w:t>
            </w:r>
            <w:r>
              <w:rPr>
                <w:rFonts w:hint="eastAsia" w:ascii="宋体" w:hAnsi="宋体" w:cs="宋体"/>
                <w:color w:val="000000"/>
                <w:sz w:val="24"/>
              </w:rPr>
              <w:t xml:space="preserve">1）采购人联系电话、通讯地址详见《第一章采购邀请》</w:t>
            </w:r>
            <w:r>
              <w:rPr>
                <w:rFonts w:hint="eastAsia" w:ascii="宋体" w:hAnsi="宋体" w:cs="宋体"/>
              </w:rPr>
              <w:t xml:space="preserve">。</w:t>
            </w:r>
            <w:r>
              <w:rPr>
                <w:rFonts w:hint="eastAsia" w:ascii="宋体" w:hAnsi="宋体" w:cs="宋体"/>
                <w:color w:val="000000"/>
                <w:sz w:val="24"/>
              </w:rPr>
            </w:r>
            <w:r/>
          </w:p>
          <w:p>
            <w:pPr>
              <w:pStyle w:val="807"/>
              <w:spacing w:line="360" w:lineRule="exact"/>
              <w:rPr>
                <w:rFonts w:hint="eastAsia" w:ascii="宋体" w:hAnsi="宋体" w:cs="宋体"/>
              </w:rPr>
            </w:pPr>
            <w:r>
              <w:rPr>
                <w:rFonts w:hint="eastAsia" w:ascii="宋体" w:hAnsi="宋体" w:cs="宋体"/>
              </w:rPr>
              <w:t xml:space="preserve">（2）代理机构：江苏嘉加诚工程投资咨询有限公司</w:t>
            </w:r>
            <w:r/>
          </w:p>
          <w:p>
            <w:pPr>
              <w:pStyle w:val="807"/>
              <w:ind w:firstLine="480"/>
              <w:spacing w:line="360" w:lineRule="exact"/>
              <w:rPr>
                <w:rFonts w:hint="eastAsia" w:ascii="宋体" w:hAnsi="宋体" w:cs="宋体"/>
              </w:rPr>
            </w:pPr>
            <w:r>
              <w:rPr>
                <w:rFonts w:hint="eastAsia" w:ascii="宋体" w:hAnsi="宋体" w:cs="宋体"/>
              </w:rPr>
              <w:t xml:space="preserve">联系部门：江苏嘉加诚工程投资咨询有限公司常州分公司</w:t>
            </w:r>
            <w:r/>
          </w:p>
          <w:p>
            <w:pPr>
              <w:pStyle w:val="807"/>
              <w:ind w:firstLine="480"/>
              <w:spacing w:line="360" w:lineRule="exact"/>
              <w:rPr>
                <w:rFonts w:hint="eastAsia" w:ascii="宋体" w:hAnsi="宋体" w:cs="宋体"/>
              </w:rPr>
            </w:pPr>
            <w:r>
              <w:rPr>
                <w:rFonts w:hint="eastAsia" w:ascii="宋体" w:hAnsi="宋体" w:cs="宋体"/>
              </w:rPr>
              <w:t xml:space="preserve">联系电话：0519-88887808  15961256000；</w:t>
            </w:r>
            <w:r/>
          </w:p>
          <w:p>
            <w:pPr>
              <w:pStyle w:val="729"/>
              <w:ind w:firstLine="480"/>
              <w:jc w:val="left"/>
              <w:spacing w:line="360" w:lineRule="exact"/>
              <w:rPr>
                <w:rFonts w:hint="eastAsia" w:ascii="宋体" w:hAnsi="宋体" w:cs="宋体"/>
                <w:color w:val="000000"/>
                <w:sz w:val="24"/>
              </w:rPr>
            </w:pPr>
            <w:r>
              <w:rPr>
                <w:rFonts w:hint="eastAsia" w:ascii="宋体" w:hAnsi="宋体" w:cs="宋体"/>
                <w:color w:val="000000"/>
                <w:sz w:val="24"/>
              </w:rPr>
              <w:t xml:space="preserve">通讯地址：常州市武进区晓柳花苑一期007号。</w:t>
            </w:r>
            <w:r/>
          </w:p>
        </w:tc>
      </w:tr>
      <w:tr>
        <w:trPr>
          <w:trHeight w:val="1612"/>
        </w:trPr>
        <w:tc>
          <w:tcPr>
            <w:tcW w:w="920" w:type="dxa"/>
            <w:vAlign w:val="center"/>
            <w:textDirection w:val="lrTb"/>
            <w:noWrap w:val="false"/>
          </w:tcPr>
          <w:p>
            <w:pPr>
              <w:pStyle w:val="769"/>
              <w:jc w:val="center"/>
              <w:spacing w:line="360" w:lineRule="exact"/>
              <w:rPr>
                <w:rFonts w:hAnsi="宋体" w:cs="宋体"/>
                <w:color w:val="000000"/>
                <w:sz w:val="24"/>
                <w:szCs w:val="24"/>
              </w:rPr>
            </w:pPr>
            <w:r>
              <w:rPr>
                <w:rFonts w:hAnsi="宋体" w:cs="宋体"/>
                <w:color w:val="000000"/>
                <w:sz w:val="24"/>
                <w:szCs w:val="24"/>
              </w:rPr>
              <w:t xml:space="preserve">14</w:t>
            </w:r>
            <w:r/>
          </w:p>
        </w:tc>
        <w:tc>
          <w:tcPr>
            <w:tcW w:w="1686" w:type="dxa"/>
            <w:vAlign w:val="center"/>
            <w:textDirection w:val="lrTb"/>
            <w:noWrap w:val="false"/>
          </w:tcPr>
          <w:p>
            <w:pPr>
              <w:pStyle w:val="729"/>
              <w:jc w:val="center"/>
              <w:spacing w:line="360" w:lineRule="exact"/>
              <w:rPr>
                <w:rFonts w:hint="eastAsia" w:ascii="宋体" w:hAnsi="宋体" w:cs="宋体"/>
                <w:color w:val="000000"/>
                <w:sz w:val="24"/>
              </w:rPr>
            </w:pPr>
            <w:r>
              <w:rPr>
                <w:rFonts w:hint="eastAsia" w:ascii="宋体" w:hAnsi="宋体" w:cs="宋体"/>
                <w:sz w:val="24"/>
              </w:rPr>
              <w:t xml:space="preserve">纸质中标（成交）文件</w:t>
            </w:r>
            <w:r>
              <w:rPr>
                <w:rFonts w:hint="eastAsia" w:ascii="宋体" w:hAnsi="宋体" w:cs="宋体"/>
                <w:color w:val="000000"/>
                <w:sz w:val="24"/>
              </w:rPr>
            </w:r>
            <w:r/>
          </w:p>
        </w:tc>
        <w:tc>
          <w:tcPr>
            <w:tcW w:w="7730" w:type="dxa"/>
            <w:vAlign w:val="center"/>
            <w:textDirection w:val="lrTb"/>
            <w:noWrap w:val="false"/>
          </w:tcPr>
          <w:p>
            <w:pPr>
              <w:pStyle w:val="729"/>
              <w:jc w:val="left"/>
              <w:spacing w:line="360" w:lineRule="exact"/>
              <w:rPr>
                <w:rFonts w:hint="eastAsia" w:ascii="宋体" w:hAnsi="宋体" w:cs="宋体"/>
                <w:color w:val="000000"/>
                <w:sz w:val="24"/>
              </w:rPr>
            </w:pPr>
            <w:r>
              <w:rPr>
                <w:rFonts w:hint="eastAsia" w:ascii="宋体" w:hAnsi="宋体" w:cs="宋体"/>
                <w:sz w:val="24"/>
              </w:rPr>
              <w:t xml:space="preserve">中标单位在签订合同前需递交与电子投标文件内容一致的纸质投标文件两份（需打印清晰，标注目录及页码），作为项目归档使用。（递交方式可采用邮寄或现场送达,江苏嘉加诚工程投资咨询有限公司和采购人各一份，联系方式见《第一章 投标邀请》）</w:t>
            </w:r>
            <w:r>
              <w:rPr>
                <w:rFonts w:hint="eastAsia" w:ascii="宋体" w:hAnsi="宋体" w:cs="宋体"/>
                <w:color w:val="000000"/>
                <w:sz w:val="24"/>
              </w:rPr>
            </w:r>
            <w:r/>
          </w:p>
        </w:tc>
      </w:tr>
    </w:tbl>
    <w:p>
      <w:pPr>
        <w:pStyle w:val="744"/>
        <w:ind w:firstLine="0"/>
        <w:rPr>
          <w:rFonts w:hint="eastAsia" w:hAnsi="宋体" w:cs="宋体"/>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Start w:id="78" w:name="_Toc151193760"/>
      <w:r/>
      <w:bookmarkStart w:id="79" w:name="_Toc226965708"/>
      <w:r/>
      <w:bookmarkStart w:id="80" w:name="_Toc226965791"/>
      <w:r/>
      <w:bookmarkStart w:id="81" w:name="_Toc226337214"/>
      <w:r/>
      <w:bookmarkStart w:id="82" w:name="_Toc264969208"/>
      <w:r/>
      <w:bookmarkStart w:id="83" w:name="_Toc151193616"/>
      <w:r/>
      <w:bookmarkStart w:id="84" w:name="_Toc150509269"/>
      <w:r/>
      <w:bookmarkStart w:id="85" w:name="_Toc151193906"/>
      <w:r/>
      <w:bookmarkStart w:id="86" w:name="_Toc195842883"/>
      <w:r/>
      <w:bookmarkStart w:id="87" w:name="_Toc99301424"/>
      <w:r/>
      <w:bookmarkStart w:id="88" w:name="_Toc151193688"/>
      <w:r/>
      <w:bookmarkStart w:id="89" w:name="_Toc150774618"/>
      <w:r/>
      <w:bookmarkStart w:id="90" w:name="_Toc127151518"/>
      <w:r/>
      <w:bookmarkStart w:id="91" w:name="_Toc226309762"/>
      <w:r/>
      <w:bookmarkStart w:id="92" w:name="_Toc520356143"/>
      <w:r/>
      <w:bookmarkStart w:id="93" w:name="_Toc142311020"/>
      <w:r/>
      <w:bookmarkStart w:id="94" w:name="_Toc265228356"/>
      <w:r/>
      <w:bookmarkStart w:id="95" w:name="_Toc151190145"/>
      <w:r/>
      <w:bookmarkStart w:id="96" w:name="_Toc305158860"/>
      <w:r/>
      <w:bookmarkStart w:id="97" w:name="_Toc150480756"/>
      <w:r/>
      <w:bookmarkStart w:id="98" w:name="_Toc305158786"/>
      <w:r/>
      <w:bookmarkStart w:id="99" w:name="_Toc150774723"/>
      <w:r/>
      <w:bookmarkStart w:id="100" w:name="_Toc151193832"/>
      <w:r>
        <w:rPr>
          <w:rFonts w:hint="eastAsia" w:hAnsi="宋体" w:cs="宋体"/>
        </w:rPr>
      </w:r>
      <w:r/>
    </w:p>
    <w:p>
      <w:pPr>
        <w:pStyle w:val="731"/>
        <w:spacing w:before="0" w:line="360" w:lineRule="auto"/>
        <w:tabs>
          <w:tab w:val="center" w:pos="4592" w:leader="none"/>
          <w:tab w:val="left" w:pos="7860" w:leader="none"/>
        </w:tabs>
        <w:rPr>
          <w:rFonts w:ascii="Times New Roman" w:hAnsi="Times New Roman" w:eastAsia="宋体"/>
          <w:sz w:val="32"/>
          <w:szCs w:val="32"/>
        </w:rPr>
      </w:pPr>
      <w:r>
        <w:rPr>
          <w:rFonts w:ascii="Times New Roman" w:hAnsi="Times New Roman" w:eastAsia="宋体"/>
          <w:sz w:val="32"/>
          <w:szCs w:val="32"/>
        </w:rPr>
      </w:r>
      <w:r/>
    </w:p>
    <w:p>
      <w:pPr>
        <w:pStyle w:val="731"/>
        <w:spacing w:before="0" w:line="360" w:lineRule="auto"/>
        <w:tabs>
          <w:tab w:val="center" w:pos="4592" w:leader="none"/>
          <w:tab w:val="left" w:pos="7860" w:leader="none"/>
        </w:tabs>
        <w:rPr>
          <w:rFonts w:ascii="Times New Roman" w:hAnsi="Times New Roman" w:eastAsia="宋体"/>
          <w:sz w:val="32"/>
          <w:szCs w:val="32"/>
        </w:rPr>
      </w:pPr>
      <w:r>
        <w:rPr>
          <w:rFonts w:ascii="Times New Roman" w:hAnsi="Times New Roman" w:eastAsia="宋体"/>
          <w:sz w:val="32"/>
          <w:szCs w:val="32"/>
        </w:rPr>
      </w:r>
      <w:r/>
    </w:p>
    <w:p>
      <w:pPr>
        <w:pStyle w:val="731"/>
        <w:spacing w:before="0" w:line="360" w:lineRule="auto"/>
        <w:tabs>
          <w:tab w:val="center" w:pos="4592" w:leader="none"/>
          <w:tab w:val="left" w:pos="7860" w:leader="none"/>
        </w:tabs>
        <w:rPr>
          <w:rFonts w:ascii="Times New Roman" w:hAnsi="Times New Roman" w:eastAsia="宋体"/>
          <w:sz w:val="32"/>
          <w:szCs w:val="32"/>
        </w:rPr>
      </w:pPr>
      <w:r>
        <w:rPr>
          <w:rFonts w:ascii="Times New Roman" w:hAnsi="Times New Roman" w:eastAsia="宋体"/>
          <w:sz w:val="32"/>
          <w:szCs w:val="32"/>
        </w:rPr>
      </w:r>
      <w:r/>
    </w:p>
    <w:p>
      <w:pPr>
        <w:pStyle w:val="731"/>
        <w:spacing w:before="0" w:line="360" w:lineRule="auto"/>
        <w:tabs>
          <w:tab w:val="center" w:pos="4592" w:leader="none"/>
          <w:tab w:val="left" w:pos="7860" w:leader="none"/>
        </w:tabs>
        <w:rPr>
          <w:rFonts w:ascii="Times New Roman" w:hAnsi="Times New Roman" w:eastAsia="宋体"/>
          <w:sz w:val="32"/>
          <w:szCs w:val="32"/>
        </w:rPr>
      </w:pPr>
      <w:r>
        <w:rPr>
          <w:rFonts w:ascii="Times New Roman" w:hAnsi="Times New Roman" w:eastAsia="宋体"/>
          <w:sz w:val="32"/>
          <w:szCs w:val="32"/>
        </w:rPr>
      </w:r>
      <w:r/>
    </w:p>
    <w:p>
      <w:pPr>
        <w:pStyle w:val="731"/>
        <w:spacing w:before="0" w:line="360" w:lineRule="auto"/>
        <w:tabs>
          <w:tab w:val="center" w:pos="4592" w:leader="none"/>
          <w:tab w:val="left" w:pos="7860" w:leader="none"/>
        </w:tabs>
        <w:rPr>
          <w:rFonts w:ascii="Times New Roman" w:hAnsi="Times New Roman" w:eastAsia="宋体"/>
          <w:sz w:val="32"/>
          <w:szCs w:val="32"/>
        </w:rPr>
      </w:pPr>
      <w:r>
        <w:rPr>
          <w:rFonts w:ascii="Times New Roman" w:hAnsi="Times New Roman" w:eastAsia="宋体"/>
          <w:sz w:val="32"/>
          <w:szCs w:val="32"/>
        </w:rPr>
      </w:r>
      <w:r/>
    </w:p>
    <w:p>
      <w:pPr>
        <w:pStyle w:val="731"/>
        <w:jc w:val="both"/>
        <w:spacing w:before="0" w:line="360" w:lineRule="auto"/>
        <w:tabs>
          <w:tab w:val="center" w:pos="4592" w:leader="none"/>
          <w:tab w:val="left" w:pos="7860" w:leader="none"/>
        </w:tabs>
        <w:rPr>
          <w:rFonts w:ascii="Times New Roman" w:hAnsi="Times New Roman" w:eastAsia="宋体"/>
          <w:sz w:val="32"/>
          <w:szCs w:val="32"/>
        </w:rPr>
      </w:pPr>
      <w:r>
        <w:rPr>
          <w:rFonts w:ascii="Times New Roman" w:hAnsi="Times New Roman" w:eastAsia="宋体"/>
          <w:sz w:val="32"/>
          <w:szCs w:val="32"/>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rPr>
          <w:rFonts w:hint="eastAsia"/>
        </w:rPr>
      </w:pPr>
      <w:r>
        <w:rPr>
          <w:rFonts w:hint="eastAsia"/>
        </w:rPr>
      </w:r>
      <w:r/>
    </w:p>
    <w:p>
      <w:pPr>
        <w:pStyle w:val="731"/>
        <w:spacing w:before="0" w:line="360" w:lineRule="auto"/>
        <w:tabs>
          <w:tab w:val="center" w:pos="4592" w:leader="none"/>
          <w:tab w:val="left" w:pos="7860" w:leader="none"/>
        </w:tabs>
        <w:rPr>
          <w:rFonts w:ascii="Times New Roman" w:hAnsi="Times New Roman" w:eastAsia="宋体"/>
          <w:sz w:val="32"/>
          <w:szCs w:val="32"/>
        </w:rPr>
      </w:pPr>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31"/>
        <w:ind w:firstLine="321"/>
        <w:jc w:val="both"/>
        <w:spacing w:before="0" w:line="500" w:lineRule="exact"/>
        <w:tabs>
          <w:tab w:val="center" w:pos="4592" w:leader="none"/>
          <w:tab w:val="left" w:pos="7860" w:leader="none"/>
        </w:tabs>
        <w:rPr>
          <w:rFonts w:ascii="Times New Roman" w:hAnsi="Times New Roman" w:eastAsia="宋体"/>
          <w:sz w:val="28"/>
        </w:rPr>
      </w:pPr>
      <w:r/>
      <w:bookmarkStart w:id="101"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8"/>
      <w:r/>
      <w:bookmarkEnd w:id="79"/>
      <w:r/>
      <w:bookmarkEnd w:id="80"/>
      <w:r/>
      <w:bookmarkEnd w:id="81"/>
      <w:r/>
      <w:bookmarkEnd w:id="82"/>
      <w:r/>
      <w:bookmarkEnd w:id="83"/>
      <w:r/>
      <w:bookmarkEnd w:id="84"/>
      <w:r/>
      <w:bookmarkEnd w:id="85"/>
      <w:r/>
      <w:bookmarkEnd w:id="86"/>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Pr>
          <w:rFonts w:hint="eastAsia" w:ascii="Times New Roman" w:hAnsi="Times New Roman" w:eastAsia="宋体"/>
          <w:sz w:val="32"/>
          <w:szCs w:val="32"/>
        </w:rPr>
        <w:t xml:space="preserve">总则</w:t>
      </w:r>
      <w:r>
        <w:rPr>
          <w:rFonts w:ascii="Times New Roman" w:hAnsi="Times New Roman" w:eastAsia="宋体"/>
          <w:sz w:val="28"/>
        </w:rPr>
      </w:r>
      <w:r/>
    </w:p>
    <w:p>
      <w:pPr>
        <w:pStyle w:val="729"/>
        <w:ind w:firstLine="420"/>
        <w:keepLines/>
        <w:keepNext/>
        <w:spacing w:line="500" w:lineRule="exact"/>
        <w:rPr>
          <w:rFonts w:hint="eastAsia" w:ascii="Arial" w:hAnsi="Arial" w:eastAsia="黑体" w:cs="Arial"/>
          <w:color w:val="000000"/>
          <w:sz w:val="28"/>
          <w:szCs w:val="28"/>
        </w:rPr>
        <w:outlineLvl w:val="3"/>
      </w:pPr>
      <w:r/>
      <w:bookmarkStart w:id="102" w:name="_Toc150774759"/>
      <w:r/>
      <w:bookmarkStart w:id="103" w:name="_Toc353873664"/>
      <w:r/>
      <w:bookmarkStart w:id="104" w:name="_Toc226965827"/>
      <w:r/>
      <w:bookmarkStart w:id="105" w:name="_Toc16938520"/>
      <w:r/>
      <w:bookmarkStart w:id="106" w:name="_Toc353873934"/>
      <w:r/>
      <w:bookmarkStart w:id="107" w:name="_Toc305158822"/>
      <w:r/>
      <w:bookmarkStart w:id="108" w:name="_Toc305158896"/>
      <w:r/>
      <w:bookmarkStart w:id="109" w:name="_Toc264969244"/>
      <w:r/>
      <w:bookmarkStart w:id="110" w:name="_Toc127151554"/>
      <w:r/>
      <w:bookmarkStart w:id="111" w:name="_Toc20823276"/>
      <w:r/>
      <w:bookmarkStart w:id="112" w:name="_Toc150480792"/>
      <w:r/>
      <w:bookmarkStart w:id="113" w:name="_Toc265228392"/>
      <w:r/>
      <w:bookmarkStart w:id="114" w:name="_Toc142311056"/>
      <w:r/>
      <w:bookmarkStart w:id="115" w:name="_Toc353825544"/>
      <w:r/>
      <w:bookmarkStart w:id="116" w:name="_Toc226337250"/>
      <w:r/>
      <w:bookmarkStart w:id="117" w:name="_Toc99301421"/>
      <w:r/>
      <w:bookmarkStart w:id="118" w:name="_Toc458694821"/>
      <w:r/>
      <w:bookmarkStart w:id="119" w:name="_Toc513029204"/>
      <w:r>
        <w:rPr>
          <w:rFonts w:hint="eastAsia" w:ascii="Arial" w:hAnsi="Arial" w:eastAsia="黑体" w:cs="Arial"/>
          <w:color w:val="000000"/>
          <w:sz w:val="28"/>
          <w:szCs w:val="28"/>
        </w:rPr>
        <w:t xml:space="preserve">1</w:t>
      </w:r>
      <w:bookmarkEnd w:id="118"/>
      <w:r>
        <w:rPr>
          <w:rFonts w:hint="eastAsia" w:ascii="Arial" w:hAnsi="Arial" w:eastAsia="黑体" w:cs="Arial"/>
          <w:color w:val="000000"/>
          <w:sz w:val="28"/>
          <w:szCs w:val="28"/>
        </w:rPr>
        <w:t xml:space="preserve">、采购方式</w:t>
      </w:r>
      <w:bookmarkEnd w:id="105"/>
      <w:r/>
      <w:bookmarkEnd w:id="111"/>
      <w:r/>
      <w:bookmarkEnd w:id="119"/>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729"/>
        <w:ind w:firstLine="420"/>
        <w:keepLines/>
        <w:keepNext/>
        <w:spacing w:line="500" w:lineRule="exact"/>
        <w:rPr>
          <w:rFonts w:hint="eastAsia" w:ascii="Arial" w:hAnsi="Arial" w:eastAsia="黑体" w:cs="Arial"/>
          <w:color w:val="000000"/>
          <w:sz w:val="28"/>
          <w:szCs w:val="28"/>
        </w:rPr>
        <w:outlineLvl w:val="3"/>
      </w:pPr>
      <w:r/>
      <w:bookmarkStart w:id="120" w:name="_Toc16938521"/>
      <w:r/>
      <w:bookmarkStart w:id="121" w:name="_Toc513029205"/>
      <w:r/>
      <w:bookmarkStart w:id="122" w:name="_Toc20823277"/>
      <w:r>
        <w:rPr>
          <w:rFonts w:hint="eastAsia" w:ascii="Arial" w:hAnsi="Arial" w:eastAsia="黑体" w:cs="Arial"/>
          <w:color w:val="000000"/>
          <w:sz w:val="28"/>
          <w:szCs w:val="28"/>
        </w:rPr>
        <w:t xml:space="preserve">2、合格的投标人</w:t>
      </w:r>
      <w:bookmarkEnd w:id="120"/>
      <w:r/>
      <w:bookmarkEnd w:id="121"/>
      <w:r/>
      <w:bookmarkEnd w:id="122"/>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2.2 满足本文件实质性要求和条件</w:t>
      </w:r>
      <w:r>
        <w:rPr>
          <w:rFonts w:hint="eastAsia" w:ascii="宋体" w:hAnsi="宋体"/>
          <w:color w:val="000000"/>
          <w:sz w:val="24"/>
        </w:rPr>
        <w:t xml:space="preserve">的规定。</w:t>
      </w:r>
      <w:r/>
    </w:p>
    <w:p>
      <w:pPr>
        <w:pStyle w:val="729"/>
        <w:ind w:firstLine="420"/>
        <w:keepLines/>
        <w:keepNext/>
        <w:spacing w:line="500" w:lineRule="exact"/>
        <w:rPr>
          <w:rFonts w:hint="eastAsia" w:ascii="Arial" w:hAnsi="Arial" w:eastAsia="黑体" w:cs="Arial"/>
          <w:color w:val="000000"/>
          <w:sz w:val="28"/>
          <w:szCs w:val="28"/>
        </w:rPr>
        <w:outlineLvl w:val="3"/>
      </w:pPr>
      <w:r/>
      <w:bookmarkStart w:id="123" w:name="_Toc20823278"/>
      <w:r/>
      <w:bookmarkStart w:id="124" w:name="_Toc16938522"/>
      <w:r/>
      <w:bookmarkStart w:id="125" w:name="_Toc513029206"/>
      <w:r>
        <w:rPr>
          <w:rFonts w:hint="eastAsia" w:ascii="Arial" w:hAnsi="Arial" w:eastAsia="黑体" w:cs="Arial"/>
          <w:color w:val="000000"/>
          <w:sz w:val="28"/>
          <w:szCs w:val="28"/>
        </w:rPr>
        <w:t xml:space="preserve">3、适用法律</w:t>
      </w:r>
      <w:bookmarkEnd w:id="123"/>
      <w:r/>
      <w:bookmarkEnd w:id="124"/>
      <w:r/>
      <w:bookmarkEnd w:id="125"/>
      <w:r>
        <w:rPr>
          <w:rFonts w:hint="eastAsia" w:ascii="Arial" w:hAnsi="Arial" w:eastAsia="黑体" w:cs="Arial"/>
          <w:color w:val="000000"/>
          <w:sz w:val="28"/>
          <w:szCs w:val="28"/>
        </w:rPr>
      </w:r>
      <w:r/>
    </w:p>
    <w:p>
      <w:pPr>
        <w:pStyle w:val="729"/>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29"/>
        <w:ind w:firstLine="420"/>
        <w:keepLines/>
        <w:keepNext/>
        <w:spacing w:line="500" w:lineRule="exact"/>
        <w:rPr>
          <w:rFonts w:hint="eastAsia" w:ascii="Arial" w:hAnsi="Arial" w:eastAsia="黑体" w:cs="Arial"/>
          <w:color w:val="000000"/>
          <w:sz w:val="28"/>
          <w:szCs w:val="28"/>
        </w:rPr>
        <w:outlineLvl w:val="3"/>
      </w:pPr>
      <w:r/>
      <w:bookmarkStart w:id="126" w:name="_Toc513029207"/>
      <w:r/>
      <w:bookmarkStart w:id="127" w:name="_Toc16938523"/>
      <w:r/>
      <w:bookmarkStart w:id="128" w:name="_Toc20823279"/>
      <w:r/>
      <w:bookmarkStart w:id="129" w:name="_Toc462564067"/>
      <w:r>
        <w:rPr>
          <w:rFonts w:hint="eastAsia" w:ascii="Arial" w:hAnsi="Arial" w:eastAsia="黑体" w:cs="Arial"/>
          <w:color w:val="000000"/>
          <w:sz w:val="28"/>
          <w:szCs w:val="28"/>
        </w:rPr>
        <w:t xml:space="preserve">4、投标费用</w:t>
      </w:r>
      <w:bookmarkEnd w:id="126"/>
      <w:r/>
      <w:bookmarkEnd w:id="127"/>
      <w:r/>
      <w:bookmarkEnd w:id="128"/>
      <w:r/>
      <w:bookmarkEnd w:id="129"/>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4.1 投标人应自行承担所有与参加投标有关的费用，无论投标过程中的做法和结果如何，代理单位在任何情况下均无义务和责任承担这些费用。</w:t>
      </w:r>
      <w:r/>
    </w:p>
    <w:p>
      <w:pPr>
        <w:pStyle w:val="729"/>
        <w:ind w:firstLine="480"/>
        <w:spacing w:line="500" w:lineRule="exact"/>
        <w:rPr>
          <w:rFonts w:ascii="宋体" w:hAnsi="宋体"/>
          <w:color w:val="000000"/>
          <w:sz w:val="24"/>
          <w:szCs w:val="21"/>
        </w:rPr>
      </w:pPr>
      <w:r>
        <w:rPr>
          <w:rFonts w:hint="eastAsia" w:ascii="宋体" w:hAnsi="宋体"/>
          <w:color w:val="000000"/>
          <w:sz w:val="24"/>
          <w:szCs w:val="21"/>
        </w:rPr>
        <w:t xml:space="preserve">4.2本次招标代理单位和采购人不收取标书工本费</w:t>
      </w:r>
      <w:r>
        <w:rPr>
          <w:rFonts w:hint="eastAsia" w:ascii="宋体" w:hAnsi="宋体"/>
          <w:color w:val="000000"/>
          <w:sz w:val="24"/>
          <w:szCs w:val="21"/>
        </w:rPr>
        <w:t xml:space="preserve">。</w:t>
      </w:r>
      <w:r>
        <w:rPr>
          <w:rFonts w:ascii="宋体" w:hAnsi="宋体"/>
          <w:color w:val="000000"/>
          <w:sz w:val="24"/>
          <w:szCs w:val="21"/>
        </w:rPr>
      </w:r>
      <w:r/>
    </w:p>
    <w:p>
      <w:pPr>
        <w:pStyle w:val="729"/>
        <w:ind w:firstLine="480"/>
        <w:spacing w:line="5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.3</w:t>
      </w:r>
      <w:r>
        <w:rPr>
          <w:rFonts w:hint="eastAsia" w:ascii="宋体" w:hAnsi="宋体"/>
          <w:color w:val="000000"/>
          <w:sz w:val="24"/>
          <w:szCs w:val="21"/>
        </w:rPr>
        <w:t xml:space="preserve">代理服务费</w:t>
      </w:r>
      <w:r>
        <w:rPr>
          <w:rFonts w:ascii="宋体" w:hAnsi="宋体"/>
          <w:color w:val="000000"/>
          <w:sz w:val="24"/>
          <w:szCs w:val="21"/>
        </w:rPr>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（1）本项目代理费由中标供应商支付，按中标价的1.5%计取，不足人民币5000元的按5000元收取。</w:t>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（2）代理服务费账户：江苏嘉加诚工程投资咨询有限公司常州分公司</w:t>
      </w:r>
      <w:r/>
    </w:p>
    <w:p>
      <w:pPr>
        <w:pStyle w:val="729"/>
        <w:ind w:firstLine="960"/>
        <w:spacing w:line="500" w:lineRule="exact"/>
        <w:rPr>
          <w:rFonts w:hint="eastAsia" w:ascii="宋体" w:hAnsi="宋体"/>
          <w:color w:val="000000"/>
          <w:sz w:val="24"/>
          <w:szCs w:val="21"/>
        </w:rPr>
      </w:pPr>
      <w:r>
        <w:rPr>
          <w:rFonts w:hint="eastAsia" w:ascii="宋体" w:hAnsi="宋体"/>
          <w:color w:val="000000"/>
          <w:sz w:val="24"/>
          <w:szCs w:val="21"/>
        </w:rPr>
        <w:t xml:space="preserve">账号：1032000000001429</w:t>
      </w:r>
      <w:r/>
    </w:p>
    <w:p>
      <w:pPr>
        <w:pStyle w:val="729"/>
        <w:ind w:firstLine="960"/>
        <w:spacing w:line="500" w:lineRule="exact"/>
        <w:rPr>
          <w:rFonts w:ascii="宋体" w:hAnsi="宋体"/>
          <w:color w:val="000000"/>
          <w:sz w:val="24"/>
          <w:szCs w:val="21"/>
        </w:rPr>
      </w:pPr>
      <w:r>
        <w:rPr>
          <w:rFonts w:hint="eastAsia" w:ascii="宋体" w:hAnsi="宋体"/>
          <w:color w:val="000000"/>
          <w:sz w:val="24"/>
          <w:szCs w:val="21"/>
        </w:rPr>
        <w:t xml:space="preserve">开户银行：江苏江南农村商业银行股份有限公司常州市武进支行</w:t>
      </w:r>
      <w:r>
        <w:rPr>
          <w:rFonts w:ascii="宋体" w:hAnsi="宋体"/>
          <w:color w:val="000000"/>
          <w:sz w:val="24"/>
          <w:szCs w:val="21"/>
        </w:rPr>
      </w:r>
      <w:r/>
    </w:p>
    <w:p>
      <w:pPr>
        <w:pStyle w:val="729"/>
        <w:ind w:firstLine="480"/>
        <w:spacing w:line="500" w:lineRule="exact"/>
        <w:rPr>
          <w:rFonts w:ascii="Symbol" w:hAnsi="Symbol" w:cs="Symbol"/>
          <w:color w:val="000000"/>
          <w:sz w:val="24"/>
        </w:rPr>
      </w:pPr>
      <w:r>
        <w:rPr>
          <w:rFonts w:hint="eastAsia" w:ascii="宋体" w:hAnsi="宋体"/>
          <w:color w:val="000000"/>
          <w:sz w:val="24"/>
          <w:szCs w:val="21"/>
        </w:rPr>
        <w:t xml:space="preserve">（3）代理费由中标（成交）供应商领取中标通知书时（签订合同前）结</w:t>
      </w:r>
      <w:r>
        <w:rPr>
          <w:rFonts w:ascii="Symbol" w:hAnsi="Symbol" w:cs="Symbol"/>
          <w:color w:val="000000"/>
          <w:sz w:val="24"/>
        </w:rPr>
        <w:t xml:space="preserve">清。</w:t>
      </w:r>
      <w:r/>
    </w:p>
    <w:p>
      <w:pPr>
        <w:pStyle w:val="729"/>
        <w:ind w:firstLine="602"/>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729"/>
        <w:ind w:firstLine="480"/>
        <w:spacing w:line="50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p>
    <w:p>
      <w:pPr>
        <w:pStyle w:val="729"/>
        <w:ind w:firstLine="321"/>
        <w:keepLines/>
        <w:keepNext/>
        <w:spacing w:line="500" w:lineRule="exact"/>
        <w:rPr>
          <w:rFonts w:hint="eastAsia"/>
          <w:b/>
          <w:bCs/>
          <w:color w:val="000000"/>
          <w:sz w:val="32"/>
          <w:szCs w:val="32"/>
        </w:rPr>
        <w:outlineLvl w:val="2"/>
      </w:pPr>
      <w:r/>
      <w:bookmarkStart w:id="130" w:name="_Toc20823281"/>
      <w:r/>
      <w:bookmarkStart w:id="131" w:name="_Toc120614215"/>
      <w:r/>
      <w:bookmarkStart w:id="132" w:name="_Toc513029209"/>
      <w:r/>
      <w:bookmarkStart w:id="133" w:name="_Toc16938525"/>
      <w:r>
        <w:rPr>
          <w:rFonts w:hint="eastAsia"/>
          <w:b/>
          <w:bCs/>
          <w:color w:val="000000"/>
          <w:sz w:val="32"/>
          <w:szCs w:val="32"/>
        </w:rPr>
        <w:t xml:space="preserve">二、招标文件</w:t>
      </w:r>
      <w:bookmarkEnd w:id="130"/>
      <w:r/>
      <w:bookmarkEnd w:id="131"/>
      <w:r/>
      <w:bookmarkEnd w:id="132"/>
      <w:r/>
      <w:bookmarkEnd w:id="133"/>
      <w:r>
        <w:rPr>
          <w:rFonts w:hint="eastAsia"/>
          <w:b/>
          <w:bCs/>
          <w:color w:val="000000"/>
          <w:sz w:val="32"/>
          <w:szCs w:val="32"/>
        </w:rPr>
      </w:r>
      <w:r/>
    </w:p>
    <w:p>
      <w:pPr>
        <w:pStyle w:val="729"/>
        <w:ind w:firstLine="420"/>
        <w:keepLines/>
        <w:keepNext/>
        <w:spacing w:line="500" w:lineRule="exact"/>
        <w:rPr>
          <w:rFonts w:hint="eastAsia" w:ascii="Arial" w:hAnsi="Arial" w:eastAsia="黑体" w:cs="Arial"/>
          <w:color w:val="000000"/>
          <w:sz w:val="28"/>
          <w:szCs w:val="28"/>
        </w:rPr>
        <w:outlineLvl w:val="3"/>
      </w:pPr>
      <w:r/>
      <w:bookmarkStart w:id="134" w:name="_Toc20823282"/>
      <w:r/>
      <w:bookmarkStart w:id="135" w:name="_Toc16938526"/>
      <w:r/>
      <w:bookmarkStart w:id="136" w:name="_Toc513029210"/>
      <w:r>
        <w:rPr>
          <w:rFonts w:hint="eastAsia" w:ascii="Arial" w:hAnsi="Arial" w:eastAsia="黑体" w:cs="Arial"/>
          <w:color w:val="000000"/>
          <w:sz w:val="28"/>
          <w:szCs w:val="28"/>
        </w:rPr>
        <w:t xml:space="preserve">6、招标文件构成</w:t>
      </w:r>
      <w:bookmarkEnd w:id="134"/>
      <w:r/>
      <w:bookmarkEnd w:id="135"/>
      <w:r/>
      <w:bookmarkEnd w:id="136"/>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729"/>
        <w:ind w:firstLine="360"/>
        <w:spacing w:line="50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rPr>
          <w:rFonts w:hint="eastAsia" w:ascii="宋体" w:hAnsi="宋体"/>
          <w:color w:val="000000"/>
          <w:sz w:val="24"/>
        </w:rPr>
      </w:r>
      <w:r/>
    </w:p>
    <w:p>
      <w:pPr>
        <w:pStyle w:val="729"/>
        <w:ind w:firstLine="360"/>
        <w:spacing w:line="500" w:lineRule="exact"/>
        <w:rPr>
          <w:rFonts w:ascii="宋体" w:hAnsi="宋体"/>
          <w:color w:val="000000"/>
          <w:sz w:val="24"/>
        </w:rPr>
      </w:pPr>
      <w:r>
        <w:rPr>
          <w:rFonts w:hint="eastAsia" w:ascii="宋体" w:hAnsi="宋体"/>
          <w:color w:val="000000"/>
          <w:sz w:val="24"/>
        </w:rPr>
        <w:t xml:space="preserve">（2）投标人须知</w:t>
      </w:r>
      <w:r>
        <w:rPr>
          <w:rFonts w:ascii="宋体" w:hAnsi="宋体"/>
          <w:color w:val="000000"/>
          <w:sz w:val="24"/>
        </w:rPr>
      </w:r>
      <w:r/>
    </w:p>
    <w:p>
      <w:pPr>
        <w:pStyle w:val="729"/>
        <w:ind w:firstLine="360"/>
        <w:spacing w:line="500" w:lineRule="exact"/>
        <w:rPr>
          <w:rFonts w:hint="eastAsia" w:ascii="宋体" w:hAnsi="宋体"/>
          <w:color w:val="000000"/>
          <w:sz w:val="24"/>
        </w:rPr>
      </w:pPr>
      <w:r>
        <w:rPr>
          <w:rFonts w:hint="eastAsia" w:ascii="宋体" w:hAnsi="宋体"/>
          <w:color w:val="000000"/>
          <w:sz w:val="24"/>
        </w:rPr>
        <w:t xml:space="preserve">（3）资格审查</w:t>
      </w:r>
      <w:r/>
    </w:p>
    <w:p>
      <w:pPr>
        <w:pStyle w:val="729"/>
        <w:ind w:firstLine="360"/>
        <w:spacing w:line="500" w:lineRule="exact"/>
        <w:rPr>
          <w:rFonts w:hint="eastAsia" w:ascii="宋体" w:hAnsi="宋体"/>
          <w:color w:val="000000"/>
          <w:sz w:val="24"/>
        </w:rPr>
      </w:pPr>
      <w:r>
        <w:rPr>
          <w:rFonts w:hint="eastAsia" w:ascii="宋体" w:hAnsi="宋体"/>
          <w:color w:val="000000"/>
          <w:sz w:val="24"/>
        </w:rPr>
        <w:t xml:space="preserve">（4）评标程序、评标方法和评标标准</w:t>
      </w:r>
      <w:r/>
    </w:p>
    <w:p>
      <w:pPr>
        <w:pStyle w:val="729"/>
        <w:ind w:firstLine="360"/>
        <w:spacing w:line="500" w:lineRule="exact"/>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29"/>
        <w:ind w:firstLine="360"/>
        <w:spacing w:line="500" w:lineRule="exact"/>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29"/>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p>
    <w:p>
      <w:pPr>
        <w:pStyle w:val="729"/>
        <w:ind w:firstLine="360"/>
        <w:spacing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缺漏请立即与代理单位联系解决。</w:t>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9"/>
        <w:ind w:firstLine="560"/>
        <w:keepLines/>
        <w:keepNext/>
        <w:spacing w:line="500" w:lineRule="exact"/>
        <w:rPr>
          <w:rFonts w:hint="eastAsia" w:ascii="Arial" w:hAnsi="Arial" w:eastAsia="黑体" w:cs="Arial"/>
          <w:color w:val="000000"/>
          <w:sz w:val="28"/>
          <w:szCs w:val="28"/>
        </w:rPr>
        <w:outlineLvl w:val="3"/>
      </w:pPr>
      <w:r/>
      <w:bookmarkStart w:id="137" w:name="_Toc513029211"/>
      <w:r/>
      <w:bookmarkStart w:id="138" w:name="_Toc462564070"/>
      <w:r/>
      <w:bookmarkStart w:id="139" w:name="_Toc20823283"/>
      <w:r/>
      <w:bookmarkStart w:id="140" w:name="_Toc16938527"/>
      <w:r>
        <w:rPr>
          <w:rFonts w:hint="eastAsia" w:ascii="Arial" w:hAnsi="Arial" w:eastAsia="黑体" w:cs="Arial"/>
          <w:color w:val="000000"/>
          <w:sz w:val="28"/>
          <w:szCs w:val="28"/>
        </w:rPr>
        <w:t xml:space="preserve">7、招标文件的澄清</w:t>
      </w:r>
      <w:bookmarkEnd w:id="137"/>
      <w:r/>
      <w:bookmarkEnd w:id="138"/>
      <w:r/>
      <w:bookmarkEnd w:id="139"/>
      <w:r/>
      <w:bookmarkEnd w:id="140"/>
      <w:r>
        <w:rPr>
          <w:rFonts w:hint="eastAsia" w:ascii="Arial" w:hAnsi="Arial" w:eastAsia="黑体" w:cs="Arial"/>
          <w:color w:val="000000"/>
          <w:sz w:val="28"/>
          <w:szCs w:val="28"/>
        </w:rPr>
      </w:r>
      <w:r/>
    </w:p>
    <w:p>
      <w:pPr>
        <w:pStyle w:val="729"/>
        <w:ind w:firstLine="480"/>
        <w:jc w:val="left"/>
        <w:spacing w:line="500" w:lineRule="exact"/>
        <w:tabs>
          <w:tab w:val="left" w:pos="1080" w:leader="none"/>
          <w:tab w:val="left" w:pos="1561" w:leader="none"/>
          <w:tab w:val="left" w:pos="1589" w:leader="none"/>
          <w:tab w:val="left" w:pos="2014" w:leader="none"/>
        </w:tabs>
        <w:rPr>
          <w:color w:val="000000"/>
          <w:sz w:val="24"/>
        </w:rPr>
      </w:pPr>
      <w:r/>
      <w:bookmarkStart w:id="141" w:name="_Toc20823284"/>
      <w:r/>
      <w:bookmarkStart w:id="142" w:name="_Toc16938528"/>
      <w:r/>
      <w:bookmarkStart w:id="143" w:name="_Toc462564071"/>
      <w:r/>
      <w:bookmarkStart w:id="144" w:name="_Toc513029212"/>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p>
    <w:p>
      <w:pPr>
        <w:pStyle w:val="729"/>
        <w:ind w:firstLine="56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41"/>
      <w:r/>
      <w:bookmarkEnd w:id="142"/>
      <w:r/>
      <w:bookmarkEnd w:id="143"/>
      <w:r/>
      <w:bookmarkEnd w:id="144"/>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，代理单位可以对招标文件进行修改。</w:t>
      </w:r>
      <w:r/>
    </w:p>
    <w:p>
      <w:pPr>
        <w:pStyle w:val="729"/>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代理单位</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45" w:name="_Hlk151728132"/>
      <w:r>
        <w:rPr>
          <w:rFonts w:hint="eastAsia" w:ascii="宋体" w:hAnsi="宋体"/>
          <w:b/>
          <w:bCs/>
          <w:sz w:val="24"/>
          <w:szCs w:val="21"/>
        </w:rPr>
        <w:t xml:space="preserve">“江苏省政府采购网”、“常州市政府采购网”</w:t>
      </w:r>
      <w:bookmarkEnd w:id="145"/>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p>
    <w:p>
      <w:pPr>
        <w:pStyle w:val="729"/>
        <w:ind w:firstLine="482"/>
        <w:keepLines/>
        <w:keepNext/>
        <w:spacing w:line="500" w:lineRule="exact"/>
        <w:rPr>
          <w:rFonts w:hint="eastAsia"/>
          <w:b/>
          <w:bCs/>
          <w:color w:val="000000"/>
          <w:sz w:val="32"/>
          <w:szCs w:val="32"/>
        </w:rPr>
        <w:outlineLvl w:val="2"/>
      </w:pPr>
      <w:r/>
      <w:bookmarkStart w:id="146" w:name="_Toc462564072"/>
      <w:r/>
      <w:bookmarkStart w:id="147" w:name="_Toc120614216"/>
      <w:r/>
      <w:bookmarkStart w:id="148" w:name="_Toc16938529"/>
      <w:r/>
      <w:bookmarkStart w:id="149" w:name="_Toc513029213"/>
      <w:r/>
      <w:bookmarkStart w:id="150" w:name="_Toc20823285"/>
      <w:r>
        <w:rPr>
          <w:rFonts w:hint="eastAsia"/>
          <w:b/>
          <w:bCs/>
          <w:color w:val="000000"/>
          <w:sz w:val="32"/>
          <w:szCs w:val="32"/>
        </w:rPr>
        <w:t xml:space="preserve">三、投标文件的编制</w:t>
      </w:r>
      <w:bookmarkEnd w:id="146"/>
      <w:r/>
      <w:bookmarkEnd w:id="147"/>
      <w:r/>
      <w:bookmarkEnd w:id="148"/>
      <w:r/>
      <w:bookmarkEnd w:id="149"/>
      <w:r/>
      <w:bookmarkEnd w:id="150"/>
      <w:r>
        <w:rPr>
          <w:rFonts w:hint="eastAsia"/>
          <w:b/>
          <w:bCs/>
          <w:color w:val="000000"/>
          <w:sz w:val="32"/>
          <w:szCs w:val="32"/>
        </w:rPr>
      </w:r>
      <w:r/>
    </w:p>
    <w:p>
      <w:pPr>
        <w:pStyle w:val="729"/>
        <w:ind w:firstLine="560"/>
        <w:keepLines/>
        <w:keepNext/>
        <w:spacing w:line="500" w:lineRule="exact"/>
        <w:rPr>
          <w:rFonts w:hint="eastAsia" w:ascii="Arial" w:hAnsi="Arial" w:eastAsia="黑体" w:cs="Arial"/>
          <w:b/>
          <w:color w:val="000000"/>
          <w:sz w:val="28"/>
          <w:szCs w:val="28"/>
        </w:rPr>
        <w:outlineLvl w:val="3"/>
      </w:pPr>
      <w:r/>
      <w:bookmarkStart w:id="151" w:name="_Toc20823286"/>
      <w:r/>
      <w:bookmarkStart w:id="152" w:name="_Toc462564073"/>
      <w:r/>
      <w:bookmarkStart w:id="153" w:name="_Toc513029214"/>
      <w:r/>
      <w:bookmarkStart w:id="154" w:name="_Toc16938530"/>
      <w:r>
        <w:rPr>
          <w:rFonts w:hint="eastAsia" w:ascii="Arial" w:hAnsi="Arial" w:eastAsia="黑体" w:cs="Arial"/>
          <w:color w:val="000000"/>
          <w:sz w:val="28"/>
          <w:szCs w:val="28"/>
        </w:rPr>
        <w:t xml:space="preserve">9、投标文件的语言及度量衡单位</w:t>
      </w:r>
      <w:bookmarkEnd w:id="151"/>
      <w:r/>
      <w:bookmarkEnd w:id="152"/>
      <w:r/>
      <w:bookmarkEnd w:id="153"/>
      <w:r/>
      <w:bookmarkEnd w:id="154"/>
      <w:r>
        <w:rPr>
          <w:rFonts w:hint="eastAsia" w:ascii="Arial" w:hAnsi="Arial" w:eastAsia="黑体" w:cs="Arial"/>
          <w:b/>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投标人提交的投标文件以及投标人与代理单位就有关投标的所有来往通知、函件和文件均应使用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pStyle w:val="729"/>
        <w:ind w:firstLine="420"/>
        <w:keepLines/>
        <w:keepNext/>
        <w:spacing w:line="500" w:lineRule="exact"/>
        <w:rPr>
          <w:rFonts w:hint="eastAsia" w:ascii="Arial" w:hAnsi="Arial" w:eastAsia="黑体" w:cs="Arial"/>
          <w:color w:val="000000"/>
          <w:sz w:val="28"/>
          <w:szCs w:val="28"/>
        </w:rPr>
        <w:outlineLvl w:val="3"/>
      </w:pPr>
      <w:r/>
      <w:bookmarkStart w:id="155" w:name="_Toc20823287"/>
      <w:r/>
      <w:bookmarkStart w:id="156" w:name="_Toc513029215"/>
      <w:r/>
      <w:bookmarkStart w:id="157" w:name="_Toc462564074"/>
      <w:r/>
      <w:bookmarkStart w:id="158" w:name="_Toc16938531"/>
      <w:r>
        <w:rPr>
          <w:rFonts w:hint="eastAsia" w:ascii="Arial" w:hAnsi="Arial" w:eastAsia="黑体" w:cs="Arial"/>
          <w:color w:val="000000"/>
          <w:sz w:val="28"/>
          <w:szCs w:val="28"/>
        </w:rPr>
        <w:t xml:space="preserve">10、投标文件构成</w:t>
      </w:r>
      <w:bookmarkEnd w:id="155"/>
      <w:r/>
      <w:bookmarkEnd w:id="156"/>
      <w:r/>
      <w:bookmarkEnd w:id="157"/>
      <w:r/>
      <w:bookmarkEnd w:id="158"/>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w:t>
      </w:r>
      <w:r>
        <w:rPr>
          <w:rFonts w:hint="eastAsia" w:ascii="宋体" w:hAnsi="宋体"/>
          <w:color w:val="000000"/>
          <w:sz w:val="24"/>
          <w:szCs w:val="21"/>
        </w:rPr>
        <w:t xml:space="preserve">技术偏离表、其他证明文件、投标函、开标一览表等部分。</w:t>
      </w:r>
      <w:r/>
    </w:p>
    <w:p>
      <w:pPr>
        <w:pStyle w:val="729"/>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如标书制作工具中格式和内容与“江苏省政府采购网”、“常州市政府采购网”发布的招标文件不一致，以“江苏省政府采购网”、“常州市政府采购网”发布的招标文件为准。</w:t>
      </w:r>
      <w:r/>
    </w:p>
    <w:p>
      <w:pPr>
        <w:pStyle w:val="729"/>
        <w:ind w:firstLine="420"/>
        <w:keepLines/>
        <w:keepNext/>
        <w:spacing w:line="500" w:lineRule="exact"/>
        <w:rPr>
          <w:rFonts w:hint="eastAsia" w:ascii="Arial" w:hAnsi="Arial" w:eastAsia="黑体" w:cs="Arial"/>
          <w:color w:val="000000"/>
          <w:sz w:val="28"/>
          <w:szCs w:val="28"/>
        </w:rPr>
        <w:outlineLvl w:val="3"/>
      </w:pPr>
      <w:r/>
      <w:bookmarkStart w:id="159" w:name="_Hlt26670360"/>
      <w:r/>
      <w:bookmarkEnd w:id="159"/>
      <w:r/>
      <w:bookmarkStart w:id="160" w:name="_Hlt26668975"/>
      <w:r/>
      <w:bookmarkEnd w:id="160"/>
      <w:r/>
      <w:bookmarkStart w:id="161" w:name="_Hlt26954838"/>
      <w:r/>
      <w:bookmarkEnd w:id="161"/>
      <w:r/>
      <w:bookmarkStart w:id="162" w:name="_Toc513029219"/>
      <w:r/>
      <w:bookmarkStart w:id="163" w:name="_Toc49090509"/>
      <w:r/>
      <w:bookmarkStart w:id="164" w:name="_Toc14577355"/>
      <w:r/>
      <w:bookmarkStart w:id="165" w:name="_Toc49090508"/>
      <w:r/>
      <w:bookmarkStart w:id="166" w:name="_Toc49090507"/>
      <w:r/>
      <w:bookmarkStart w:id="167" w:name="_Toc513029216"/>
      <w:r/>
      <w:bookmarkStart w:id="168" w:name="_Toc14577354"/>
      <w:r/>
      <w:bookmarkStart w:id="169" w:name="_Toc14577357"/>
      <w:r>
        <w:rPr>
          <w:rFonts w:hint="eastAsia" w:ascii="Arial" w:hAnsi="Arial" w:eastAsia="黑体" w:cs="Arial"/>
          <w:color w:val="000000"/>
          <w:sz w:val="28"/>
          <w:szCs w:val="28"/>
        </w:rPr>
        <w:t xml:space="preserve">11、证明投标人及投标标的符合招标文件规定的文件</w:t>
      </w:r>
      <w:bookmarkEnd w:id="162"/>
      <w:r/>
      <w:bookmarkEnd w:id="163"/>
      <w:r/>
      <w:bookmarkEnd w:id="169"/>
      <w:r>
        <w:rPr>
          <w:rFonts w:hint="eastAsia" w:ascii="Arial" w:hAnsi="Arial" w:eastAsia="黑体" w:cs="Arial"/>
          <w:color w:val="000000"/>
          <w:sz w:val="28"/>
          <w:szCs w:val="28"/>
        </w:rPr>
      </w:r>
      <w:r/>
    </w:p>
    <w:p>
      <w:pPr>
        <w:pStyle w:val="729"/>
        <w:spacing w:line="500" w:lineRule="exact"/>
        <w:rPr>
          <w:rFonts w:hint="eastAsia" w:ascii="宋体" w:hAnsi="宋体"/>
          <w:color w:val="000000"/>
          <w:sz w:val="24"/>
        </w:rPr>
      </w:pPr>
      <w:r/>
      <w:bookmarkEnd w:id="166"/>
      <w:r/>
      <w:bookmarkEnd w:id="167"/>
      <w:r/>
      <w:bookmarkEnd w:id="168"/>
      <w:r>
        <w:rPr>
          <w:rFonts w:hint="eastAsia" w:ascii="宋体" w:hAnsi="宋体"/>
          <w:color w:val="000000"/>
          <w:sz w:val="24"/>
        </w:rPr>
        <w:t xml:space="preserve">    11.1 投标人应按照招标文件要求提交证明文件，证明其及投标标的符合招标文件规定。</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729"/>
        <w:ind w:firstLine="420"/>
        <w:keepLines/>
        <w:keepNext/>
        <w:spacing w:line="500" w:lineRule="exact"/>
        <w:rPr>
          <w:rFonts w:hint="eastAsia" w:ascii="Arial" w:hAnsi="Arial" w:eastAsia="黑体" w:cs="Arial"/>
          <w:color w:val="000000"/>
          <w:sz w:val="28"/>
          <w:szCs w:val="28"/>
        </w:rPr>
        <w:outlineLvl w:val="3"/>
      </w:pPr>
      <w:r/>
      <w:bookmarkEnd w:id="164"/>
      <w:r/>
      <w:bookmarkEnd w:id="165"/>
      <w:r>
        <w:rPr>
          <w:rFonts w:hint="eastAsia" w:ascii="Arial" w:hAnsi="Arial" w:eastAsia="黑体" w:cs="Arial"/>
          <w:color w:val="000000"/>
          <w:sz w:val="28"/>
          <w:szCs w:val="28"/>
        </w:rPr>
        <w:t xml:space="preserve">12、投标报价明细表</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rPr>
          <w:rFonts w:hint="eastAsia" w:ascii="宋体" w:hAnsi="宋体"/>
          <w:bCs/>
          <w:color w:val="000000"/>
          <w:sz w:val="24"/>
          <w:szCs w:val="21"/>
        </w:rPr>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29"/>
        <w:ind w:firstLine="420"/>
        <w:keepLines/>
        <w:keepNext/>
        <w:spacing w:line="500" w:lineRule="exact"/>
        <w:rPr>
          <w:rFonts w:hint="eastAsia" w:ascii="Arial" w:hAnsi="Arial" w:eastAsia="黑体" w:cs="Arial"/>
          <w:color w:val="000000"/>
          <w:sz w:val="28"/>
          <w:szCs w:val="28"/>
        </w:rPr>
        <w:outlineLvl w:val="3"/>
      </w:pPr>
      <w:r/>
      <w:bookmarkStart w:id="170" w:name="_Hlt26954731"/>
      <w:r/>
      <w:bookmarkEnd w:id="170"/>
      <w:r/>
      <w:bookmarkStart w:id="171" w:name="_Hlt26670486"/>
      <w:r/>
      <w:bookmarkEnd w:id="171"/>
      <w:r/>
      <w:bookmarkStart w:id="172" w:name="_Hlt26954846"/>
      <w:r/>
      <w:bookmarkEnd w:id="172"/>
      <w:r/>
      <w:bookmarkStart w:id="173" w:name="_Hlt26670482"/>
      <w:r/>
      <w:bookmarkEnd w:id="173"/>
      <w:r/>
      <w:bookmarkStart w:id="174" w:name="_Hlt26954848"/>
      <w:r/>
      <w:bookmarkEnd w:id="174"/>
      <w:r>
        <w:rPr>
          <w:rFonts w:hint="eastAsia" w:ascii="Arial" w:hAnsi="Arial" w:eastAsia="黑体" w:cs="Arial"/>
          <w:color w:val="000000"/>
          <w:sz w:val="28"/>
          <w:szCs w:val="28"/>
        </w:rPr>
        <w:t xml:space="preserve">13、技术要求响应及偏离表、商务要求响应及偏离表</w:t>
      </w:r>
      <w:r/>
    </w:p>
    <w:p>
      <w:pPr>
        <w:pStyle w:val="729"/>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投标人需对招标文件中的技术要求逐项作出响应或偏离，并说明原因。</w:t>
      </w:r>
      <w:r/>
    </w:p>
    <w:p>
      <w:pPr>
        <w:pStyle w:val="729"/>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pStyle w:val="729"/>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729"/>
        <w:ind w:firstLine="480"/>
        <w:spacing w:line="50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w:t>
      </w:r>
      <w:r>
        <w:rPr>
          <w:rFonts w:hint="eastAsia" w:ascii="宋体" w:hAnsi="宋体"/>
          <w:color w:val="000000"/>
          <w:sz w:val="24"/>
        </w:rPr>
        <w:t xml:space="preserve">能力等。</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rPr>
      </w:r>
      <w:r/>
    </w:p>
    <w:p>
      <w:pPr>
        <w:pStyle w:val="729"/>
        <w:ind w:firstLine="420"/>
        <w:keepLines/>
        <w:keepNext/>
        <w:spacing w:line="500" w:lineRule="exact"/>
        <w:rPr>
          <w:rFonts w:hint="eastAsia" w:ascii="Arial" w:hAnsi="Arial" w:eastAsia="黑体" w:cs="Arial"/>
          <w:color w:val="000000"/>
          <w:sz w:val="28"/>
          <w:szCs w:val="28"/>
        </w:rPr>
        <w:outlineLvl w:val="3"/>
      </w:pPr>
      <w:r/>
      <w:bookmarkStart w:id="175" w:name="_Toc14577359"/>
      <w:r/>
      <w:bookmarkStart w:id="176" w:name="_Toc49090510"/>
      <w:r>
        <w:rPr>
          <w:rFonts w:hint="eastAsia" w:ascii="Arial" w:hAnsi="Arial" w:eastAsia="黑体" w:cs="Arial"/>
          <w:color w:val="000000"/>
          <w:sz w:val="28"/>
          <w:szCs w:val="28"/>
        </w:rPr>
        <w:t xml:space="preserve">15、投标函和开标一览表</w:t>
      </w:r>
      <w:r/>
    </w:p>
    <w:p>
      <w:pPr>
        <w:pStyle w:val="729"/>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对于采用货币报价的项目，开标一览表中的投标总报价应与报价明细表中的投标总报价一致，如不一致，不作为无效投标处理，评标时按开标一览表中的价格为准。</w:t>
      </w:r>
      <w:r/>
    </w:p>
    <w:p>
      <w:pPr>
        <w:pStyle w:val="729"/>
        <w:ind w:firstLine="420"/>
        <w:keepLines/>
        <w:keepNext/>
        <w:spacing w:line="500" w:lineRule="exact"/>
        <w:rPr>
          <w:rFonts w:hint="eastAsia" w:ascii="Arial" w:hAnsi="Arial" w:eastAsia="黑体" w:cs="Arial"/>
          <w:color w:val="000000"/>
          <w:sz w:val="28"/>
          <w:szCs w:val="28"/>
        </w:rPr>
        <w:outlineLvl w:val="3"/>
      </w:pPr>
      <w:r/>
      <w:bookmarkEnd w:id="175"/>
      <w:r/>
      <w:bookmarkEnd w:id="176"/>
      <w:r/>
      <w:bookmarkStart w:id="177" w:name="_Toc14577360"/>
      <w:r/>
      <w:bookmarkStart w:id="178" w:name="_Toc49090511"/>
      <w:r>
        <w:rPr>
          <w:rFonts w:hint="eastAsia" w:ascii="Arial" w:hAnsi="Arial" w:eastAsia="黑体" w:cs="Arial"/>
          <w:color w:val="000000"/>
          <w:sz w:val="28"/>
          <w:szCs w:val="28"/>
        </w:rPr>
        <w:t xml:space="preserve">16、投标有效期</w:t>
      </w:r>
      <w:bookmarkEnd w:id="177"/>
      <w:r/>
      <w:bookmarkEnd w:id="178"/>
      <w:r>
        <w:rPr>
          <w:rFonts w:hint="eastAsia" w:ascii="Arial" w:hAnsi="Arial" w:eastAsia="黑体" w:cs="Arial"/>
          <w:color w:val="000000"/>
          <w:sz w:val="28"/>
          <w:szCs w:val="28"/>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16.1投标有效期为代理单位规定的开标之日后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w:t>
      </w:r>
      <w:r>
        <w:rPr>
          <w:rFonts w:hint="eastAsia" w:ascii="宋体" w:hAnsi="宋体"/>
          <w:bCs/>
          <w:color w:val="000000"/>
          <w:sz w:val="24"/>
          <w:szCs w:val="21"/>
        </w:rPr>
        <w:t xml:space="preserve">拒绝。</w:t>
      </w:r>
      <w:r/>
    </w:p>
    <w:p>
      <w:pPr>
        <w:pStyle w:val="729"/>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代理单位于原投标有效期满之前，可向投标人提出延长投标有效期的要求。这种要求与答复均应采用书面形式。投标人可以拒绝代理单位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pStyle w:val="729"/>
        <w:ind w:firstLine="643"/>
        <w:keepLines/>
        <w:keepNext/>
        <w:spacing w:line="500" w:lineRule="exact"/>
        <w:rPr>
          <w:rFonts w:hint="eastAsia"/>
          <w:b/>
          <w:bCs/>
          <w:color w:val="000000"/>
          <w:sz w:val="32"/>
          <w:szCs w:val="32"/>
        </w:rPr>
        <w:outlineLvl w:val="2"/>
      </w:pPr>
      <w:r/>
      <w:bookmarkStart w:id="179" w:name="_Hlt26954852"/>
      <w:r/>
      <w:bookmarkEnd w:id="179"/>
      <w:r/>
      <w:bookmarkStart w:id="180" w:name="_Hlt26954739"/>
      <w:r/>
      <w:bookmarkEnd w:id="180"/>
      <w:r/>
      <w:bookmarkStart w:id="181" w:name="_Toc513029224"/>
      <w:r/>
      <w:bookmarkStart w:id="182" w:name="_Toc20823296"/>
      <w:r/>
      <w:bookmarkStart w:id="183" w:name="_Toc16938540"/>
      <w:r/>
      <w:bookmarkStart w:id="184" w:name="_Toc120614217"/>
      <w:r>
        <w:rPr>
          <w:rFonts w:hint="eastAsia"/>
          <w:b/>
          <w:bCs/>
          <w:color w:val="000000"/>
          <w:sz w:val="32"/>
          <w:szCs w:val="32"/>
        </w:rPr>
        <w:t xml:space="preserve">四、投标文件的递交</w:t>
      </w:r>
      <w:bookmarkEnd w:id="181"/>
      <w:r/>
      <w:bookmarkEnd w:id="182"/>
      <w:r/>
      <w:bookmarkEnd w:id="183"/>
      <w:r/>
      <w:bookmarkEnd w:id="184"/>
      <w:r>
        <w:rPr>
          <w:rFonts w:hint="eastAsia"/>
          <w:b/>
          <w:bCs/>
          <w:color w:val="000000"/>
          <w:sz w:val="32"/>
          <w:szCs w:val="32"/>
        </w:rPr>
      </w:r>
      <w:r/>
    </w:p>
    <w:p>
      <w:pPr>
        <w:pStyle w:val="729"/>
        <w:ind w:firstLine="420"/>
        <w:keepLines/>
        <w:keepNext/>
        <w:spacing w:line="500" w:lineRule="exact"/>
        <w:rPr>
          <w:rFonts w:hint="eastAsia" w:ascii="黑体" w:hAnsi="Arial" w:eastAsia="黑体" w:cs="Arial"/>
          <w:color w:val="000000"/>
          <w:sz w:val="28"/>
          <w:szCs w:val="28"/>
        </w:rPr>
        <w:outlineLvl w:val="3"/>
      </w:pPr>
      <w:r/>
      <w:bookmarkStart w:id="185" w:name="_Toc16938541"/>
      <w:r/>
      <w:bookmarkStart w:id="186" w:name="_Toc20823297"/>
      <w:r/>
      <w:bookmarkStart w:id="187" w:name="_Toc462564084"/>
      <w:r/>
      <w:bookmarkStart w:id="188"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85"/>
      <w:r/>
      <w:bookmarkEnd w:id="186"/>
      <w:r/>
      <w:bookmarkEnd w:id="187"/>
      <w:r/>
      <w:bookmarkEnd w:id="188"/>
      <w:r>
        <w:rPr>
          <w:rFonts w:hint="eastAsia" w:ascii="黑体" w:hAnsi="Arial" w:eastAsia="黑体" w:cs="Arial"/>
          <w:color w:val="000000"/>
          <w:sz w:val="28"/>
          <w:szCs w:val="28"/>
        </w:rPr>
        <w:t xml:space="preserve">的递交</w:t>
      </w:r>
      <w:r/>
    </w:p>
    <w:p>
      <w:pPr>
        <w:pStyle w:val="729"/>
        <w:ind w:firstLine="480"/>
        <w:spacing w:line="500" w:lineRule="exact"/>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89" w:name="_Toc16938542"/>
      <w:r/>
      <w:bookmarkStart w:id="190" w:name="_Toc20823298"/>
      <w:r/>
      <w:bookmarkStart w:id="191" w:name="_Toc513029226"/>
      <w:r>
        <w:rPr>
          <w:rFonts w:ascii="宋体" w:hAnsi="宋体"/>
          <w:bCs/>
          <w:color w:val="000000"/>
          <w:sz w:val="24"/>
          <w:szCs w:val="21"/>
        </w:rPr>
      </w:r>
      <w:r/>
    </w:p>
    <w:p>
      <w:pPr>
        <w:pStyle w:val="729"/>
        <w:ind w:firstLine="420"/>
        <w:keepLines/>
        <w:keepNext/>
        <w:spacing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89"/>
      <w:r/>
      <w:bookmarkEnd w:id="190"/>
      <w:r/>
      <w:bookmarkEnd w:id="191"/>
      <w:r>
        <w:rPr>
          <w:rFonts w:hint="eastAsia" w:ascii="宋体" w:hAnsi="宋体" w:eastAsia="黑体" w:cs="Arial"/>
          <w:bCs/>
          <w:color w:val="000000"/>
          <w:sz w:val="24"/>
          <w:szCs w:val="28"/>
        </w:rPr>
      </w:r>
      <w:r/>
    </w:p>
    <w:p>
      <w:pPr>
        <w:pStyle w:val="729"/>
        <w:ind w:firstLine="480"/>
        <w:spacing w:line="50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w:t>
      </w:r>
      <w:r>
        <w:rPr>
          <w:rFonts w:hint="eastAsia" w:ascii="宋体" w:hAnsi="宋体"/>
          <w:bCs/>
          <w:iCs/>
          <w:color w:val="000000"/>
          <w:sz w:val="24"/>
          <w:szCs w:val="21"/>
        </w:rPr>
        <w:t xml:space="preserve">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rPr>
      </w:r>
      <w:r/>
    </w:p>
    <w:p>
      <w:pPr>
        <w:pStyle w:val="729"/>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代理单位可以按照规定，通过修改招标文件酌情延长投标截止日期，在此情况下，投标人的所有权利和义务以及投标人受制的截止日期均应以延长后新的截止日期为准。</w:t>
      </w:r>
      <w:r/>
    </w:p>
    <w:p>
      <w:pPr>
        <w:pStyle w:val="729"/>
        <w:ind w:firstLine="420"/>
        <w:keepLines/>
        <w:keepNext/>
        <w:spacing w:line="500" w:lineRule="exact"/>
        <w:rPr>
          <w:rFonts w:hint="eastAsia" w:ascii="Arial" w:hAnsi="Arial" w:eastAsia="黑体" w:cs="Arial"/>
          <w:color w:val="000000"/>
          <w:sz w:val="28"/>
          <w:szCs w:val="28"/>
        </w:rPr>
        <w:outlineLvl w:val="3"/>
      </w:pPr>
      <w:r/>
      <w:bookmarkStart w:id="192" w:name="_Toc16938543"/>
      <w:r/>
      <w:bookmarkStart w:id="193" w:name="_Toc513029227"/>
      <w:r/>
      <w:bookmarkStart w:id="194"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92"/>
      <w:r/>
      <w:bookmarkEnd w:id="193"/>
      <w:r/>
      <w:bookmarkEnd w:id="194"/>
      <w:r>
        <w:rPr>
          <w:rFonts w:hint="eastAsia" w:ascii="Arial" w:hAnsi="Arial" w:eastAsia="黑体" w:cs="Arial"/>
          <w:color w:val="000000"/>
          <w:sz w:val="28"/>
          <w:szCs w:val="28"/>
        </w:rPr>
        <w:t xml:space="preserve">的拒收</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代理单位拒绝接收在其规定的投标截止时间后上传的任何投标文件。</w:t>
      </w:r>
      <w:r/>
    </w:p>
    <w:p>
      <w:pPr>
        <w:pStyle w:val="729"/>
        <w:ind w:firstLine="420"/>
        <w:keepLines/>
        <w:keepNext/>
        <w:spacing w:line="500" w:lineRule="exact"/>
        <w:rPr>
          <w:rFonts w:hint="eastAsia" w:ascii="Arial" w:hAnsi="Arial" w:eastAsia="黑体" w:cs="Arial"/>
          <w:color w:val="000000"/>
          <w:sz w:val="28"/>
          <w:szCs w:val="28"/>
        </w:rPr>
        <w:outlineLvl w:val="3"/>
      </w:pPr>
      <w:r/>
      <w:bookmarkStart w:id="195" w:name="_Toc513029228"/>
      <w:r/>
      <w:bookmarkStart w:id="196" w:name="_Toc20823300"/>
      <w:r/>
      <w:bookmarkStart w:id="197"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95"/>
      <w:r/>
      <w:bookmarkEnd w:id="196"/>
      <w:r/>
      <w:bookmarkEnd w:id="197"/>
      <w:r>
        <w:rPr>
          <w:rFonts w:hint="eastAsia" w:ascii="Arial" w:hAnsi="Arial" w:eastAsia="黑体" w:cs="Arial"/>
          <w:color w:val="000000"/>
          <w:sz w:val="28"/>
          <w:szCs w:val="28"/>
        </w:rPr>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p>
    <w:p>
      <w:pPr>
        <w:pStyle w:val="729"/>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729"/>
        <w:ind w:firstLine="482"/>
        <w:keepLines/>
        <w:keepNext/>
        <w:spacing w:line="500" w:lineRule="exact"/>
        <w:rPr>
          <w:rFonts w:hint="eastAsia"/>
          <w:b/>
          <w:bCs/>
          <w:color w:val="000000"/>
          <w:sz w:val="32"/>
          <w:szCs w:val="32"/>
        </w:rPr>
        <w:outlineLvl w:val="2"/>
      </w:pPr>
      <w:r/>
      <w:bookmarkStart w:id="198" w:name="_Toc20823301"/>
      <w:r/>
      <w:bookmarkStart w:id="199" w:name="_Toc120614218"/>
      <w:r/>
      <w:bookmarkStart w:id="200" w:name="_Toc513029229"/>
      <w:r/>
      <w:bookmarkStart w:id="201" w:name="_Toc16938545"/>
      <w:r>
        <w:rPr>
          <w:rFonts w:hint="eastAsia"/>
          <w:b/>
          <w:bCs/>
          <w:color w:val="000000"/>
          <w:sz w:val="32"/>
          <w:szCs w:val="32"/>
        </w:rPr>
        <w:t xml:space="preserve">五、开标与评标</w:t>
      </w:r>
      <w:bookmarkEnd w:id="198"/>
      <w:r/>
      <w:bookmarkEnd w:id="199"/>
      <w:r/>
      <w:bookmarkEnd w:id="200"/>
      <w:r/>
      <w:bookmarkEnd w:id="201"/>
      <w:r>
        <w:rPr>
          <w:rFonts w:hint="eastAsia"/>
          <w:b/>
          <w:bCs/>
          <w:color w:val="000000"/>
          <w:sz w:val="32"/>
          <w:szCs w:val="32"/>
        </w:rPr>
      </w:r>
      <w:r/>
    </w:p>
    <w:p>
      <w:pPr>
        <w:pStyle w:val="729"/>
        <w:ind w:firstLine="420"/>
        <w:keepLines/>
        <w:keepNext/>
        <w:spacing w:line="500" w:lineRule="exact"/>
        <w:rPr>
          <w:rFonts w:hint="eastAsia" w:ascii="Arial" w:hAnsi="Arial" w:eastAsia="黑体" w:cs="Arial"/>
          <w:color w:val="000000"/>
          <w:sz w:val="28"/>
          <w:szCs w:val="28"/>
        </w:rPr>
        <w:outlineLvl w:val="3"/>
      </w:pPr>
      <w:r/>
      <w:bookmarkStart w:id="202" w:name="_Toc20823302"/>
      <w:r/>
      <w:bookmarkStart w:id="203" w:name="_Toc16938546"/>
      <w:r/>
      <w:bookmarkStart w:id="204" w:name="_Toc513029230"/>
      <w:r>
        <w:rPr>
          <w:rFonts w:hint="eastAsia" w:ascii="Arial" w:hAnsi="Arial" w:eastAsia="黑体" w:cs="Arial"/>
          <w:color w:val="000000"/>
          <w:sz w:val="28"/>
          <w:szCs w:val="28"/>
        </w:rPr>
        <w:t xml:space="preserve">22、开标</w:t>
      </w:r>
      <w:bookmarkEnd w:id="202"/>
      <w:r/>
      <w:bookmarkEnd w:id="203"/>
      <w:r/>
      <w:bookmarkEnd w:id="204"/>
      <w:r>
        <w:rPr>
          <w:rFonts w:hint="eastAsia" w:ascii="Arial" w:hAnsi="Arial" w:eastAsia="黑体" w:cs="Arial"/>
          <w:color w:val="000000"/>
          <w:sz w:val="28"/>
          <w:szCs w:val="28"/>
        </w:rPr>
      </w:r>
      <w:r/>
    </w:p>
    <w:p>
      <w:pPr>
        <w:pStyle w:val="729"/>
        <w:ind w:firstLine="360"/>
        <w:spacing w:line="500" w:lineRule="exact"/>
        <w:rPr>
          <w:rFonts w:hint="eastAsia"/>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代理单</w:t>
      </w:r>
      <w:r>
        <w:rPr>
          <w:rFonts w:hint="eastAsia" w:ascii="宋体" w:hAnsi="宋体"/>
          <w:bCs/>
          <w:color w:val="000000"/>
          <w:sz w:val="24"/>
          <w:szCs w:val="21"/>
        </w:rPr>
        <w:t xml:space="preserve">位将在招标公告中规定的时间和地点组织公开开标</w:t>
      </w:r>
      <w:r>
        <w:rPr>
          <w:rFonts w:hint="eastAsia" w:ascii="宋体" w:hAnsi="宋体"/>
          <w:color w:val="000000"/>
          <w:sz w:val="24"/>
        </w:rPr>
        <w:t xml:space="preserve">。投标人应当按照《操作手册》规定，</w:t>
      </w:r>
      <w:r>
        <w:rPr>
          <w:rFonts w:ascii="宋体" w:hAnsi="宋体"/>
          <w:sz w:val="24"/>
        </w:rPr>
        <w:t xml:space="preserve">参加开标活动</w:t>
      </w:r>
      <w:r>
        <w:rPr>
          <w:rFonts w:hint="eastAsia" w:ascii="宋体" w:hAnsi="宋体"/>
          <w:sz w:val="24"/>
        </w:rPr>
        <w:t xml:space="preserve">并在苏采云系统规定的时间内对投标文件进行解密。</w:t>
      </w:r>
      <w:r>
        <w:rPr>
          <w:rFonts w:hint="eastAsia"/>
          <w:szCs w:val="21"/>
        </w:rPr>
      </w:r>
      <w:r/>
    </w:p>
    <w:p>
      <w:pPr>
        <w:pStyle w:val="729"/>
        <w:ind w:firstLine="480"/>
        <w:spacing w:line="500" w:lineRule="exact"/>
        <w:rPr>
          <w:rFonts w:hint="eastAsia" w:ascii="宋体" w:hAnsi="宋体"/>
          <w:color w:val="000000"/>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开标仪式由代理单位组织。苏采云系统将自</w:t>
      </w:r>
      <w:r>
        <w:rPr>
          <w:rFonts w:hint="eastAsia" w:ascii="宋体" w:hAnsi="宋体"/>
          <w:color w:val="000000"/>
          <w:sz w:val="24"/>
        </w:rPr>
        <w:t xml:space="preserve">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pStyle w:val="729"/>
        <w:ind w:firstLine="480"/>
        <w:spacing w:line="50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rPr>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w:t>
      </w:r>
      <w:r>
        <w:rPr>
          <w:rFonts w:hint="eastAsia" w:ascii="宋体" w:hAnsi="宋体"/>
          <w:sz w:val="24"/>
        </w:rPr>
        <w:t xml:space="preserve">出，如苏采云系统中《开标记录表》宣布后5分钟内未提出</w:t>
      </w:r>
      <w:r>
        <w:rPr>
          <w:rFonts w:hint="eastAsia" w:ascii="宋体" w:hAnsi="宋体"/>
          <w:color w:val="000000"/>
          <w:sz w:val="24"/>
        </w:rPr>
        <w:t xml:space="preserve">的，视同认可开标结果。</w:t>
      </w:r>
      <w:r>
        <w:rPr>
          <w:rFonts w:ascii="宋体" w:hAnsi="宋体"/>
          <w:color w:val="000000"/>
          <w:sz w:val="24"/>
        </w:rPr>
      </w:r>
      <w:r/>
    </w:p>
    <w:p>
      <w:pPr>
        <w:pStyle w:val="729"/>
        <w:ind w:firstLine="420"/>
        <w:keepLines/>
        <w:keepNext/>
        <w:spacing w:line="500" w:lineRule="exact"/>
        <w:rPr>
          <w:rFonts w:hint="eastAsia" w:ascii="Arial" w:hAnsi="Arial" w:eastAsia="黑体" w:cs="Arial"/>
          <w:color w:val="000000"/>
          <w:sz w:val="28"/>
          <w:szCs w:val="28"/>
        </w:rPr>
        <w:outlineLvl w:val="3"/>
      </w:pPr>
      <w:r/>
      <w:bookmarkStart w:id="205" w:name="_Toc16938547"/>
      <w:r/>
      <w:bookmarkStart w:id="206" w:name="_Toc513029231"/>
      <w:r/>
      <w:bookmarkStart w:id="207"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729"/>
        <w:spacing w:line="50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开标后，代理单位将组织评标委员会（以下简称评委会）进行评标。</w:t>
      </w:r>
      <w:r>
        <w:rPr>
          <w:rFonts w:hint="eastAsia" w:ascii="宋体" w:hAnsi="宋体"/>
          <w:b/>
          <w:color w:val="000000"/>
          <w:sz w:val="24"/>
        </w:rPr>
      </w:r>
      <w:r/>
    </w:p>
    <w:p>
      <w:pPr>
        <w:pStyle w:val="729"/>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pStyle w:val="729"/>
        <w:spacing w:line="50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.3评委会独立工作，负责评审所有投标文件并确定中标侯选人。</w:t>
      </w:r>
      <w:r/>
    </w:p>
    <w:p>
      <w:pPr>
        <w:pStyle w:val="729"/>
        <w:ind w:firstLine="420"/>
        <w:keepLines/>
        <w:keepNext/>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729"/>
        <w:ind w:firstLine="480"/>
        <w:spacing w:line="500" w:lineRule="exact"/>
        <w:rPr>
          <w:rFonts w:hint="eastAsia" w:ascii="宋体" w:hAnsi="宋体"/>
          <w:bCs/>
          <w:color w:val="000000"/>
          <w:sz w:val="24"/>
          <w:szCs w:val="21"/>
        </w:rPr>
      </w:pPr>
      <w:r/>
      <w:bookmarkEnd w:id="205"/>
      <w:r/>
      <w:bookmarkEnd w:id="206"/>
      <w:r/>
      <w:bookmarkEnd w:id="207"/>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凡是与审查、澄清、评价和比较投标的有关资料以及授标建议等，采购人、评委、代理单位均不得向投标人或与评标无关的其他人员透露。</w:t>
      </w:r>
      <w:r/>
    </w:p>
    <w:p>
      <w:pPr>
        <w:pStyle w:val="729"/>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p>
    <w:p>
      <w:pPr>
        <w:pStyle w:val="729"/>
        <w:ind w:firstLine="480"/>
        <w:spacing w:line="50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代理单位和评标委员</w:t>
      </w:r>
      <w:r>
        <w:rPr>
          <w:rFonts w:hint="eastAsia" w:ascii="宋体" w:hAnsi="宋体"/>
          <w:color w:val="000000"/>
          <w:sz w:val="24"/>
        </w:rPr>
        <w:t xml:space="preserve">会不向未中标的投标人解释未中标原因，也不公布评标过程中的相关细节。</w:t>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w:t>
      </w:r>
      <w:r>
        <w:rPr>
          <w:rFonts w:hint="eastAsia" w:ascii="宋体" w:hAnsi="宋体"/>
          <w:sz w:val="24"/>
        </w:rPr>
        <w:t xml:space="preserve">用综合评分法的项目，未中标的投标人可于中标结果公告期限届满之日起通过苏采云系统查看自己的评审得分及排序情况</w:t>
      </w:r>
      <w:r>
        <w:rPr>
          <w:rFonts w:hint="eastAsia" w:ascii="宋体" w:hAnsi="宋体"/>
          <w:color w:val="000000"/>
          <w:sz w:val="24"/>
        </w:rPr>
        <w:t xml:space="preserve">。</w:t>
      </w:r>
      <w:r>
        <w:rPr>
          <w:rFonts w:ascii="宋体" w:hAnsi="宋体"/>
          <w:color w:val="000000"/>
          <w:sz w:val="24"/>
        </w:rPr>
      </w:r>
      <w:r/>
    </w:p>
    <w:p>
      <w:pPr>
        <w:pStyle w:val="729"/>
        <w:ind w:firstLine="420"/>
        <w:keepLines/>
        <w:keepNext/>
        <w:spacing w:line="500" w:lineRule="exact"/>
        <w:rPr>
          <w:rFonts w:hint="eastAsia" w:ascii="Arial" w:hAnsi="Arial" w:eastAsia="黑体" w:cs="Arial"/>
          <w:color w:val="000000"/>
          <w:sz w:val="28"/>
          <w:szCs w:val="28"/>
        </w:rPr>
        <w:outlineLvl w:val="3"/>
      </w:pPr>
      <w:r/>
      <w:bookmarkStart w:id="208" w:name="_Toc16938548"/>
      <w:r/>
      <w:bookmarkStart w:id="209" w:name="_Toc513029232"/>
      <w:r/>
      <w:bookmarkStart w:id="210"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08"/>
      <w:r/>
      <w:bookmarkEnd w:id="209"/>
      <w:r/>
      <w:bookmarkEnd w:id="210"/>
      <w:r>
        <w:rPr>
          <w:rFonts w:hint="eastAsia" w:ascii="Arial" w:hAnsi="Arial" w:eastAsia="黑体" w:cs="Arial"/>
          <w:color w:val="000000"/>
          <w:sz w:val="28"/>
          <w:szCs w:val="28"/>
        </w:rPr>
      </w:r>
      <w:r/>
    </w:p>
    <w:p>
      <w:pPr>
        <w:pStyle w:val="729"/>
        <w:ind w:firstLine="480"/>
        <w:spacing w:line="500" w:lineRule="exact"/>
        <w:rPr>
          <w:rFonts w:ascii="宋体" w:hAnsi="宋体"/>
          <w:color w:val="000000"/>
          <w:sz w:val="24"/>
        </w:rPr>
      </w:pPr>
      <w:r/>
      <w:bookmarkStart w:id="211" w:name="_Toc513029233"/>
      <w:r/>
      <w:bookmarkStart w:id="212" w:name="_Toc20823305"/>
      <w:r/>
      <w:bookmarkStart w:id="213" w:name="_Toc16938549"/>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rPr>
          <w:rFonts w:ascii="宋体" w:hAnsi="宋体"/>
          <w:color w:val="000000"/>
          <w:sz w:val="24"/>
        </w:rPr>
      </w:r>
      <w:r/>
    </w:p>
    <w:p>
      <w:pPr>
        <w:pStyle w:val="729"/>
        <w:ind w:firstLine="480"/>
        <w:spacing w:line="50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rPr>
          <w:rFonts w:ascii="宋体" w:hAnsi="宋体"/>
          <w:color w:val="000000"/>
          <w:sz w:val="24"/>
        </w:rPr>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w:t>
      </w:r>
      <w:r>
        <w:rPr>
          <w:rFonts w:hint="eastAsia" w:ascii="宋体" w:hAnsi="宋体"/>
          <w:sz w:val="24"/>
        </w:rPr>
        <w:t xml:space="preserve">2需要供应商进行</w:t>
      </w:r>
      <w:r>
        <w:rPr>
          <w:rFonts w:hint="eastAsia" w:ascii="宋体" w:hAnsi="宋体"/>
          <w:sz w:val="24"/>
        </w:rPr>
        <w:t xml:space="preserve">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rPr>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pStyle w:val="729"/>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11"/>
      <w:r/>
      <w:bookmarkEnd w:id="212"/>
      <w:r/>
      <w:bookmarkEnd w:id="213"/>
      <w:r>
        <w:rPr>
          <w:rFonts w:hint="eastAsia" w:ascii="Arial" w:hAnsi="Arial" w:eastAsia="黑体" w:cs="Arial"/>
          <w:color w:val="000000"/>
          <w:sz w:val="28"/>
          <w:szCs w:val="28"/>
        </w:rPr>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采购人在资格性审查时，将在“信用中国”网站、“中国政府采购网”网站查询投标人的信用记录，以确定投标人是否具备投标资格,查询结果留存并归档。</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w:t>
      </w:r>
      <w:r>
        <w:rPr>
          <w:rFonts w:hint="eastAsia" w:ascii="宋体" w:hAnsi="宋体"/>
          <w:bCs/>
          <w:color w:val="000000"/>
          <w:sz w:val="24"/>
          <w:szCs w:val="21"/>
        </w:rPr>
        <w:t xml:space="preserve">要求作出响应。</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，代理单位将在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中告知未通过资格审查或符合性审查的原因，评审结束后，代理单位将不再告知</w:t>
      </w:r>
      <w:r>
        <w:rPr>
          <w:rFonts w:hint="eastAsia" w:ascii="宋体" w:hAnsi="宋体"/>
          <w:bCs/>
          <w:color w:val="000000"/>
          <w:sz w:val="24"/>
          <w:szCs w:val="21"/>
        </w:rPr>
        <w:t xml:space="preserve">未通过资格审查或符合性审查的原因。</w:t>
      </w:r>
      <w:r/>
    </w:p>
    <w:p>
      <w:pPr>
        <w:pStyle w:val="729"/>
        <w:ind w:firstLine="480"/>
        <w:spacing w:line="50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单位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729"/>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729"/>
        <w:ind w:firstLine="48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w:t>
      </w:r>
      <w:r>
        <w:rPr>
          <w:rFonts w:hint="eastAsia" w:ascii="宋体" w:hAnsi="宋体"/>
          <w:bCs/>
          <w:color w:val="000000"/>
          <w:sz w:val="24"/>
          <w:szCs w:val="21"/>
        </w:rPr>
        <w:t xml:space="preserve">内容不一致的，以开标一览表为准。</w:t>
      </w:r>
      <w:r>
        <w:rPr>
          <w:rFonts w:ascii="宋体" w:hAnsi="宋体"/>
          <w:bCs/>
          <w:color w:val="000000"/>
          <w:sz w:val="24"/>
          <w:szCs w:val="21"/>
        </w:rPr>
      </w:r>
      <w:r/>
    </w:p>
    <w:p>
      <w:pPr>
        <w:pStyle w:val="729"/>
        <w:ind w:firstLine="48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29"/>
        <w:ind w:firstLine="480"/>
        <w:spacing w:line="5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729"/>
        <w:ind w:firstLine="48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29"/>
        <w:ind w:firstLine="480"/>
        <w:spacing w:line="500" w:lineRule="exact"/>
        <w:rPr>
          <w:rFonts w:ascii="宋体" w:hAnsi="宋体"/>
          <w:color w:val="000000"/>
          <w:sz w:val="24"/>
          <w:szCs w:val="21"/>
        </w:rPr>
      </w:pPr>
      <w:r/>
      <w:bookmarkStart w:id="214" w:name="_Toc20823306"/>
      <w:r/>
      <w:bookmarkStart w:id="215" w:name="_Toc513029234"/>
      <w:r/>
      <w:bookmarkStart w:id="216"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w:t>
      </w:r>
      <w:r>
        <w:rPr>
          <w:rFonts w:ascii="宋体" w:hAnsi="宋体"/>
          <w:color w:val="000000"/>
          <w:sz w:val="24"/>
          <w:szCs w:val="21"/>
        </w:rPr>
        <w:t xml:space="preserve">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729"/>
        <w:ind w:firstLine="480"/>
        <w:spacing w:line="5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w:t>
      </w:r>
      <w:r>
        <w:rPr>
          <w:rFonts w:ascii="宋体" w:hAnsi="宋体"/>
          <w:color w:val="000000"/>
          <w:sz w:val="24"/>
          <w:szCs w:val="21"/>
        </w:rPr>
        <w:t xml:space="preserve">中标候选人。</w:t>
      </w:r>
      <w:r/>
    </w:p>
    <w:p>
      <w:pPr>
        <w:pStyle w:val="729"/>
        <w:ind w:firstLine="420"/>
        <w:spacing w:line="5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29"/>
        <w:ind w:firstLine="42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w:t>
      </w:r>
      <w:r>
        <w:rPr>
          <w:rFonts w:hint="eastAsia" w:ascii="宋体" w:hAnsi="宋体"/>
          <w:sz w:val="24"/>
          <w:szCs w:val="21"/>
        </w:rPr>
        <w:t xml:space="preserve">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并安排专人与代理单位及评标委员会联系。</w:t>
      </w:r>
      <w:r/>
    </w:p>
    <w:p>
      <w:pPr>
        <w:pStyle w:val="729"/>
        <w:ind w:firstLine="420"/>
        <w:keepLines/>
        <w:keepNext/>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4"/>
      <w:r/>
      <w:bookmarkEnd w:id="215"/>
      <w:r/>
      <w:bookmarkEnd w:id="216"/>
      <w:r>
        <w:rPr>
          <w:rFonts w:hint="eastAsia" w:ascii="Arial" w:hAnsi="Arial" w:eastAsia="黑体" w:cs="Arial"/>
          <w:color w:val="000000"/>
          <w:sz w:val="28"/>
          <w:szCs w:val="28"/>
        </w:rPr>
        <w:t xml:space="preserve">无效投标条款和废标条款</w:t>
      </w:r>
      <w:r/>
    </w:p>
    <w:p>
      <w:pPr>
        <w:pStyle w:val="729"/>
        <w:ind w:firstLine="480"/>
        <w:spacing w:line="500" w:lineRule="exact"/>
        <w:rPr>
          <w:rFonts w:hint="eastAsia" w:ascii="宋体" w:hAnsi="宋体"/>
          <w:bCs/>
          <w:color w:val="000000"/>
          <w:sz w:val="24"/>
          <w:szCs w:val="21"/>
        </w:rPr>
      </w:pPr>
      <w:r/>
      <w:bookmarkStart w:id="217" w:name="_Toc16938551"/>
      <w:r/>
      <w:bookmarkStart w:id="218" w:name="_Toc20823307"/>
      <w:r/>
      <w:bookmarkStart w:id="219"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w:t>
      </w:r>
      <w:r>
        <w:rPr>
          <w:rFonts w:hint="eastAsia" w:ascii="宋体" w:hAnsi="宋体"/>
          <w:bCs/>
          <w:sz w:val="24"/>
          <w:szCs w:val="21"/>
        </w:rPr>
        <w:t xml:space="preserve">在</w:t>
      </w:r>
      <w:r>
        <w:rPr>
          <w:rFonts w:hint="eastAsia" w:ascii="宋体" w:hAnsi="宋体"/>
          <w:sz w:val="24"/>
        </w:rPr>
        <w:t xml:space="preserve">苏采云系统</w:t>
      </w:r>
      <w:r>
        <w:rPr>
          <w:rFonts w:hint="eastAsia" w:ascii="宋体" w:hAnsi="宋体"/>
          <w:bCs/>
          <w:sz w:val="24"/>
          <w:szCs w:val="21"/>
        </w:rPr>
        <w:t xml:space="preserve">规定的</w:t>
      </w:r>
      <w:r>
        <w:rPr>
          <w:rFonts w:hint="eastAsia" w:ascii="宋体" w:hAnsi="宋体"/>
          <w:bCs/>
          <w:color w:val="000000"/>
          <w:sz w:val="24"/>
          <w:szCs w:val="21"/>
        </w:rPr>
        <w:t xml:space="preserve">时间内未成功解密电子投标文件的。</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w:t>
      </w:r>
      <w:r>
        <w:rPr>
          <w:rFonts w:hint="eastAsia" w:ascii="宋体" w:hAnsi="宋体"/>
          <w:bCs/>
          <w:color w:val="000000"/>
          <w:sz w:val="24"/>
          <w:szCs w:val="21"/>
        </w:rPr>
        <w:t xml:space="preserve">具备招标文件中规定资格要求的。</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729"/>
        <w:ind w:firstLine="48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29"/>
        <w:ind w:firstLine="360"/>
        <w:spacing w:line="50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Cs/>
          <w:color w:val="000000"/>
          <w:sz w:val="24"/>
          <w:szCs w:val="21"/>
          <w:u w:val="single"/>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中国政府采购网”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w:t>
      </w:r>
      <w:r>
        <w:rPr>
          <w:rFonts w:hint="eastAsia" w:ascii="宋体" w:hAnsi="宋体"/>
          <w:bCs/>
          <w:color w:val="000000"/>
          <w:sz w:val="24"/>
          <w:szCs w:val="21"/>
        </w:rPr>
        <w:t xml:space="preserve">认为投标人的报价明显低于其他通过符合性审查投标人的报价，有可能影响产品质量或者不能诚信履约的，将</w:t>
      </w:r>
      <w:r>
        <w:rPr>
          <w:rFonts w:hint="eastAsia" w:ascii="宋体" w:hAnsi="宋体"/>
          <w:bCs/>
          <w:sz w:val="24"/>
          <w:szCs w:val="21"/>
        </w:rPr>
        <w:t xml:space="preserve">通过</w:t>
      </w:r>
      <w:r>
        <w:rPr>
          <w:rFonts w:hint="eastAsia" w:ascii="宋体" w:hAnsi="宋体"/>
          <w:sz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729"/>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rPr>
          <w:rFonts w:ascii="宋体" w:hAnsi="宋体"/>
          <w:bCs/>
          <w:color w:val="000000"/>
          <w:sz w:val="24"/>
          <w:szCs w:val="21"/>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729"/>
        <w:ind w:firstLine="480"/>
        <w:spacing w:line="5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w:t>
      </w:r>
      <w:r>
        <w:rPr>
          <w:rFonts w:hint="eastAsia" w:ascii="宋体" w:hAnsi="宋体"/>
          <w:bCs/>
          <w:sz w:val="24"/>
          <w:szCs w:val="21"/>
        </w:rPr>
        <w:t xml:space="preserve"> 因</w:t>
      </w:r>
      <w:r>
        <w:rPr>
          <w:rFonts w:hint="eastAsia" w:ascii="宋体" w:hAnsi="宋体"/>
          <w:sz w:val="24"/>
        </w:rPr>
        <w:t xml:space="preserve">苏采云系统</w:t>
      </w:r>
      <w:r>
        <w:rPr>
          <w:rFonts w:ascii="宋体" w:hAnsi="宋体"/>
          <w:bCs/>
          <w:sz w:val="24"/>
          <w:szCs w:val="21"/>
        </w:rPr>
        <w:t xml:space="preserve">系</w:t>
      </w:r>
      <w:r>
        <w:rPr>
          <w:rFonts w:ascii="宋体" w:hAnsi="宋体"/>
          <w:bCs/>
          <w:color w:val="000000"/>
          <w:sz w:val="24"/>
          <w:szCs w:val="21"/>
        </w:rPr>
        <w:t xml:space="preserve">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w:t>
      </w:r>
      <w:r>
        <w:rPr>
          <w:rFonts w:hint="eastAsia" w:ascii="宋体" w:hAnsi="宋体"/>
          <w:bCs/>
          <w:color w:val="000000"/>
          <w:sz w:val="24"/>
          <w:szCs w:val="21"/>
        </w:rPr>
        <w:t xml:space="preserve">标的供应商不足三家的处理：</w:t>
      </w:r>
      <w:r/>
    </w:p>
    <w:p>
      <w:pPr>
        <w:pStyle w:val="729"/>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729"/>
        <w:ind w:firstLine="482"/>
        <w:keepLines/>
        <w:keepNext/>
        <w:spacing w:line="500" w:lineRule="exact"/>
        <w:rPr>
          <w:rFonts w:hint="eastAsia"/>
          <w:b/>
          <w:bCs/>
          <w:color w:val="000000"/>
          <w:sz w:val="32"/>
          <w:szCs w:val="32"/>
        </w:rPr>
        <w:outlineLvl w:val="2"/>
      </w:pPr>
      <w:r/>
      <w:bookmarkStart w:id="220" w:name="_Toc120614219"/>
      <w:r>
        <w:rPr>
          <w:rFonts w:hint="eastAsia"/>
          <w:b/>
          <w:bCs/>
          <w:color w:val="000000"/>
          <w:sz w:val="32"/>
          <w:szCs w:val="32"/>
        </w:rPr>
        <w:t xml:space="preserve">六、</w:t>
      </w:r>
      <w:bookmarkEnd w:id="217"/>
      <w:r/>
      <w:bookmarkEnd w:id="218"/>
      <w:r/>
      <w:bookmarkEnd w:id="219"/>
      <w:r>
        <w:rPr>
          <w:rFonts w:hint="eastAsia"/>
          <w:b/>
          <w:bCs/>
          <w:color w:val="000000"/>
          <w:sz w:val="32"/>
          <w:szCs w:val="32"/>
        </w:rPr>
        <w:t xml:space="preserve">定标</w:t>
      </w:r>
      <w:bookmarkEnd w:id="220"/>
      <w:r>
        <w:rPr>
          <w:rFonts w:hint="eastAsia"/>
          <w:b/>
          <w:bCs/>
          <w:color w:val="000000"/>
          <w:sz w:val="32"/>
          <w:szCs w:val="32"/>
        </w:rPr>
      </w:r>
      <w:r/>
    </w:p>
    <w:p>
      <w:pPr>
        <w:pStyle w:val="729"/>
        <w:ind w:firstLine="600"/>
        <w:keepLines/>
        <w:keepNext/>
        <w:spacing w:line="500" w:lineRule="exact"/>
        <w:rPr>
          <w:rFonts w:hint="eastAsia" w:ascii="黑体" w:hAnsi="宋体" w:eastAsia="黑体"/>
          <w:bCs/>
          <w:color w:val="000000"/>
          <w:sz w:val="30"/>
          <w:szCs w:val="30"/>
        </w:rPr>
        <w:outlineLvl w:val="3"/>
      </w:pPr>
      <w:r/>
      <w:bookmarkStart w:id="221" w:name="_Toc16938554"/>
      <w:r/>
      <w:bookmarkStart w:id="222" w:name="_Toc20823310"/>
      <w:r/>
      <w:bookmarkStart w:id="223"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23"/>
      <w:r>
        <w:rPr>
          <w:rFonts w:hint="eastAsia" w:ascii="黑体" w:hAnsi="宋体" w:eastAsia="黑体"/>
          <w:bCs/>
          <w:color w:val="000000"/>
          <w:sz w:val="30"/>
          <w:szCs w:val="30"/>
        </w:rPr>
        <w:t xml:space="preserve">确定</w:t>
      </w:r>
      <w:bookmarkEnd w:id="221"/>
      <w:r/>
      <w:bookmarkEnd w:id="222"/>
      <w:r>
        <w:rPr>
          <w:rFonts w:hint="eastAsia" w:ascii="黑体" w:hAnsi="宋体" w:eastAsia="黑体"/>
          <w:bCs/>
          <w:color w:val="000000"/>
          <w:sz w:val="30"/>
          <w:szCs w:val="30"/>
        </w:rPr>
        <w:t xml:space="preserve">中标单位</w:t>
      </w:r>
      <w:r/>
    </w:p>
    <w:p>
      <w:pPr>
        <w:pStyle w:val="729"/>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pStyle w:val="729"/>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729"/>
        <w:ind w:firstLine="480"/>
        <w:spacing w:line="500" w:lineRule="exact"/>
        <w:rPr>
          <w:rFonts w:hint="eastAsia" w:ascii="宋体" w:hAnsi="宋体"/>
          <w:color w:val="000000"/>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代理单位将在</w:t>
      </w:r>
      <w:r>
        <w:rPr>
          <w:rFonts w:hint="eastAsia" w:ascii="宋体" w:hAnsi="宋体"/>
          <w:sz w:val="24"/>
          <w:szCs w:val="21"/>
        </w:rPr>
        <w:t xml:space="preserve">“江苏省政府采购网”、“常州市政府采购网”</w:t>
      </w:r>
      <w:r>
        <w:rPr>
          <w:rFonts w:hint="eastAsia" w:ascii="宋体" w:hAnsi="宋体"/>
          <w:sz w:val="24"/>
        </w:rPr>
        <w:t xml:space="preserve">发布</w:t>
      </w:r>
      <w:r>
        <w:rPr>
          <w:rFonts w:hint="eastAsia" w:ascii="宋体" w:hAnsi="宋体"/>
          <w:color w:val="000000"/>
          <w:sz w:val="24"/>
        </w:rPr>
        <w:t xml:space="preserve">中标公告，公告期限为1个工作日。</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.4.2向采购人、代理单位行贿或者提供其他不正当利益的。</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p>
    <w:p>
      <w:pPr>
        <w:pStyle w:val="729"/>
        <w:ind w:firstLine="480"/>
        <w:spacing w:line="500" w:lineRule="exact"/>
        <w:rPr>
          <w:rFonts w:ascii="宋体" w:hAnsi="宋体"/>
          <w:color w:val="000000"/>
          <w:sz w:val="24"/>
        </w:rPr>
      </w:pPr>
      <w:r/>
      <w:bookmarkStart w:id="224"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rPr>
          <w:rFonts w:ascii="宋体" w:hAnsi="宋体"/>
          <w:color w:val="000000"/>
          <w:sz w:val="24"/>
        </w:rPr>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rPr>
          <w:rFonts w:ascii="宋体" w:hAnsi="宋体"/>
          <w:color w:val="000000"/>
          <w:sz w:val="24"/>
        </w:rPr>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rPr>
          <w:rFonts w:ascii="宋体" w:hAnsi="宋体"/>
          <w:color w:val="000000"/>
          <w:sz w:val="24"/>
        </w:rPr>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rPr>
          <w:rFonts w:hint="eastAsia" w:ascii="宋体" w:hAnsi="宋体"/>
          <w:color w:val="000000"/>
          <w:sz w:val="24"/>
        </w:rPr>
        <w:t xml:space="preserve">；</w:t>
      </w:r>
      <w:r>
        <w:rPr>
          <w:rFonts w:ascii="宋体" w:hAnsi="宋体"/>
          <w:color w:val="000000"/>
          <w:sz w:val="24"/>
        </w:rPr>
      </w:r>
      <w:r/>
    </w:p>
    <w:p>
      <w:pPr>
        <w:pStyle w:val="729"/>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rPr>
          <w:rFonts w:ascii="宋体" w:hAnsi="宋体"/>
          <w:color w:val="000000"/>
          <w:sz w:val="24"/>
        </w:rPr>
      </w:r>
      <w:r/>
    </w:p>
    <w:p>
      <w:pPr>
        <w:pStyle w:val="729"/>
        <w:ind w:firstLine="600"/>
        <w:keepLines/>
        <w:keepNext/>
        <w:spacing w:line="5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4"/>
      <w:r>
        <w:rPr>
          <w:rFonts w:hint="eastAsia" w:ascii="黑体" w:hAnsi="宋体" w:eastAsia="黑体"/>
          <w:bCs/>
          <w:color w:val="000000"/>
          <w:sz w:val="30"/>
          <w:szCs w:val="30"/>
        </w:rPr>
      </w:r>
      <w:r/>
    </w:p>
    <w:p>
      <w:pPr>
        <w:pStyle w:val="729"/>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729"/>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代理单位或采购人提出质疑。上述应知其权益受到损害之日，是指：</w:t>
      </w:r>
      <w:r/>
    </w:p>
    <w:p>
      <w:pPr>
        <w:pStyle w:val="729"/>
        <w:ind w:firstLine="480"/>
        <w:spacing w:line="50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br w:type="textWrapping" w:clear="all"/>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rPr>
          <w:rFonts w:hint="eastAsia" w:hAnsi="宋体" w:cs="宋体"/>
          <w:color w:val="000000"/>
          <w:sz w:val="24"/>
        </w:rPr>
      </w:r>
      <w:r/>
    </w:p>
    <w:p>
      <w:pPr>
        <w:pStyle w:val="729"/>
        <w:ind w:firstLine="480"/>
        <w:spacing w:line="50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供应商应当在法定质疑期内一次性提出针对同一采购程序环节的质疑。供应商如在法定期限内对同一采购程序环节提出多次质疑的，代理单位、</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729"/>
        <w:ind w:firstLine="480"/>
        <w:spacing w:line="50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w:t>
      </w:r>
      <w:r>
        <w:rPr>
          <w:rFonts w:hint="eastAsia" w:ascii="宋体" w:hAnsi="宋体"/>
          <w:color w:val="000000"/>
          <w:sz w:val="24"/>
        </w:rPr>
        <w:t xml:space="preserve">加盖公章。</w:t>
      </w:r>
      <w:r/>
    </w:p>
    <w:p>
      <w:pPr>
        <w:pStyle w:val="729"/>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、质疑请向代理单位提出，由代理单位</w:t>
      </w:r>
      <w:r>
        <w:rPr>
          <w:rFonts w:hint="eastAsia" w:ascii="宋体" w:hAnsi="宋体"/>
          <w:sz w:val="24"/>
        </w:rPr>
        <w:t xml:space="preserve">负责</w:t>
      </w:r>
      <w:r>
        <w:rPr>
          <w:rFonts w:ascii="宋体" w:hAnsi="宋体"/>
          <w:sz w:val="24"/>
        </w:rPr>
        <w:t xml:space="preserve">答复。</w:t>
      </w:r>
      <w:r>
        <w:rPr>
          <w:rFonts w:ascii="宋体" w:hAnsi="宋体"/>
          <w:b/>
          <w:sz w:val="24"/>
        </w:rPr>
      </w:r>
      <w:r/>
    </w:p>
    <w:p>
      <w:pPr>
        <w:pStyle w:val="729"/>
        <w:ind w:firstLine="480"/>
        <w:spacing w:line="500" w:lineRule="exact"/>
        <w:rPr>
          <w:rFonts w:hint="eastAsia" w:ascii="Symbol" w:hAnsi="Symbol" w:cs="Symbol"/>
          <w:color w:val="000000"/>
          <w:sz w:val="24"/>
        </w:rPr>
      </w:pPr>
      <w:r/>
      <w:bookmarkStart w:id="225" w:name="_Hlk14990331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与质疑函一起递交，否则不予受理。</w:t>
      </w:r>
      <w:r>
        <w:rPr>
          <w:rFonts w:hint="eastAsia" w:ascii="Symbol" w:hAnsi="Symbol" w:cs="Symbol"/>
          <w:color w:val="000000"/>
          <w:sz w:val="24"/>
        </w:rPr>
      </w:r>
      <w:r/>
    </w:p>
    <w:p>
      <w:pPr>
        <w:pStyle w:val="729"/>
        <w:ind w:firstLine="480"/>
        <w:spacing w:line="500" w:lineRule="exact"/>
        <w:rPr>
          <w:rFonts w:hint="eastAsia" w:ascii="宋体" w:hAnsi="宋体"/>
          <w:color w:val="000000"/>
          <w:sz w:val="24"/>
        </w:rPr>
      </w:pPr>
      <w:r>
        <w:rPr>
          <w:rFonts w:hint="eastAsia" w:ascii="宋体" w:hAnsi="宋体"/>
          <w:color w:val="000000"/>
          <w:sz w:val="24"/>
        </w:rPr>
        <w:t xml:space="preserve">采购人及</w:t>
      </w:r>
      <w:r>
        <w:rPr>
          <w:rFonts w:hint="eastAsia" w:ascii="宋体" w:hAnsi="宋体"/>
          <w:color w:val="000000"/>
          <w:sz w:val="24"/>
        </w:rPr>
        <w:t xml:space="preserve">代理机构</w:t>
      </w:r>
      <w:r>
        <w:rPr>
          <w:rFonts w:hint="eastAsia" w:ascii="宋体" w:hAnsi="宋体"/>
          <w:color w:val="000000"/>
          <w:sz w:val="24"/>
        </w:rPr>
        <w:t xml:space="preserve">只接收以纸质原件形式送达的质疑,建议供应商尽量通过现场递交或邮寄方式提交质疑（采购人和采购中心不接受未填写快递运单的快件）。</w:t>
      </w:r>
      <w:r/>
    </w:p>
    <w:p>
      <w:pPr>
        <w:pStyle w:val="729"/>
        <w:ind w:firstLine="480"/>
        <w:spacing w:line="500" w:lineRule="exact"/>
        <w:rPr>
          <w:rFonts w:hint="eastAsia" w:ascii="宋体" w:hAnsi="宋体"/>
          <w:sz w:val="24"/>
        </w:rPr>
      </w:pPr>
      <w:r/>
      <w:bookmarkEnd w:id="225"/>
      <w:r>
        <w:rPr>
          <w:rFonts w:ascii="宋体" w:hAnsi="宋体"/>
          <w:sz w:val="24"/>
        </w:rPr>
        <w:t xml:space="preserve">29</w:t>
      </w:r>
      <w:r>
        <w:rPr>
          <w:rFonts w:hint="eastAsia" w:ascii="宋体" w:hAnsi="宋体"/>
          <w:sz w:val="24"/>
        </w:rPr>
        <w:t xml:space="preserve">.5 以下情形的质疑不予受理：</w:t>
      </w:r>
      <w:r/>
    </w:p>
    <w:p>
      <w:pPr>
        <w:pStyle w:val="729"/>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pStyle w:val="729"/>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pStyle w:val="729"/>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pStyle w:val="729"/>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pStyle w:val="729"/>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w:t>
      </w:r>
      <w:r>
        <w:rPr>
          <w:rFonts w:hint="eastAsia" w:ascii="宋体" w:hAnsi="宋体"/>
          <w:sz w:val="24"/>
        </w:rPr>
        <w:t xml:space="preserve">何一方或多方未按要求签字、盖章、加盖公章的质疑。</w:t>
      </w:r>
      <w:r/>
    </w:p>
    <w:p>
      <w:pPr>
        <w:pStyle w:val="729"/>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单位有权依据政府采购的有关规定，报请政府采购监管部门对该供应商进行相应的行政处罚和记录该供应商的失信信息。</w:t>
      </w:r>
      <w:r/>
    </w:p>
    <w:p>
      <w:pPr>
        <w:pStyle w:val="729"/>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pStyle w:val="729"/>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单位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9"/>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29"/>
        <w:ind w:firstLine="643"/>
        <w:keepLines/>
        <w:keepNext/>
        <w:spacing w:line="500" w:lineRule="exact"/>
        <w:rPr>
          <w:rFonts w:hint="eastAsia"/>
          <w:b/>
          <w:bCs/>
          <w:color w:val="000000"/>
          <w:sz w:val="32"/>
          <w:szCs w:val="32"/>
        </w:rPr>
        <w:outlineLvl w:val="2"/>
      </w:pPr>
      <w:r/>
      <w:bookmarkStart w:id="226" w:name="_Toc16938552"/>
      <w:r/>
      <w:bookmarkStart w:id="227" w:name="_Toc513029236"/>
      <w:r/>
      <w:bookmarkStart w:id="228" w:name="_Toc20823308"/>
      <w:r/>
      <w:bookmarkStart w:id="229" w:name="_Toc120614220"/>
      <w:r>
        <w:rPr>
          <w:rFonts w:hint="eastAsia"/>
          <w:b/>
          <w:bCs/>
          <w:color w:val="000000"/>
          <w:sz w:val="32"/>
          <w:szCs w:val="32"/>
        </w:rPr>
        <w:t xml:space="preserve">七、授予合同</w:t>
      </w:r>
      <w:bookmarkEnd w:id="229"/>
      <w:r>
        <w:rPr>
          <w:rFonts w:hint="eastAsia"/>
          <w:b/>
          <w:bCs/>
          <w:color w:val="000000"/>
          <w:sz w:val="32"/>
          <w:szCs w:val="32"/>
        </w:rPr>
      </w:r>
      <w:r/>
    </w:p>
    <w:p>
      <w:pPr>
        <w:pStyle w:val="729"/>
        <w:ind w:firstLine="600"/>
        <w:keepLines/>
        <w:keepNext/>
        <w:spacing w:line="500" w:lineRule="exact"/>
        <w:rPr>
          <w:rFonts w:hint="eastAsia" w:ascii="黑体" w:hAnsi="宋体" w:eastAsia="黑体"/>
          <w:bCs/>
          <w:color w:val="000000"/>
          <w:sz w:val="30"/>
          <w:szCs w:val="30"/>
        </w:rPr>
        <w:outlineLvl w:val="3"/>
      </w:pPr>
      <w:r/>
      <w:bookmarkEnd w:id="226"/>
      <w:r/>
      <w:bookmarkEnd w:id="227"/>
      <w:r/>
      <w:bookmarkEnd w:id="228"/>
      <w:r/>
      <w:bookmarkStart w:id="230" w:name="_Toc513029237"/>
      <w:r/>
      <w:bookmarkStart w:id="231" w:name="_Toc16938553"/>
      <w:r/>
      <w:bookmarkStart w:id="232"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729"/>
        <w:ind w:firstLine="600"/>
        <w:spacing w:line="50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pStyle w:val="729"/>
        <w:ind w:firstLine="600"/>
        <w:spacing w:line="5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pStyle w:val="729"/>
        <w:ind w:firstLine="600"/>
        <w:spacing w:line="500" w:lineRule="exact"/>
        <w:rPr>
          <w:rFonts w:hint="eastAsia" w:ascii="宋体" w:hAnsi="宋体"/>
          <w:color w:val="000000"/>
          <w:sz w:val="24"/>
        </w:rPr>
      </w:pPr>
      <w:r>
        <w:rPr>
          <w:rFonts w:hint="eastAsia" w:ascii="宋体" w:hAnsi="宋体"/>
          <w:color w:val="000000"/>
          <w:sz w:val="24"/>
        </w:rPr>
        <w:t xml:space="preserve">31.3 签订合同后，中标人不得将合同标的进行转包。未经</w:t>
      </w:r>
      <w:r>
        <w:rPr>
          <w:rFonts w:hint="eastAsia" w:ascii="宋体" w:hAnsi="宋体"/>
          <w:color w:val="000000"/>
          <w:sz w:val="24"/>
        </w:rPr>
        <w:t xml:space="preserve">采购人同意，中标人也不得采用分包的形式履行合同，否则采购人有权终止合同。转包或分包造成采购人损失的，中标人应承担相应赔偿责任。</w:t>
      </w:r>
      <w:r/>
    </w:p>
    <w:p>
      <w:pPr>
        <w:pStyle w:val="729"/>
        <w:ind w:firstLine="600"/>
        <w:keepLines/>
        <w:keepNext/>
        <w:spacing w:line="5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729"/>
        <w:ind w:firstLine="480"/>
        <w:spacing w:line="500" w:lineRule="exact"/>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01"/>
      <w:r/>
      <w:bookmarkEnd w:id="230"/>
      <w:r/>
      <w:bookmarkEnd w:id="231"/>
      <w:r/>
      <w:bookmarkEnd w:id="232"/>
      <w:r>
        <w:rPr>
          <w:rFonts w:ascii="宋体" w:hAnsi="宋体"/>
          <w:color w:val="000000"/>
          <w:sz w:val="24"/>
        </w:rPr>
      </w:r>
      <w:r/>
    </w:p>
    <w:p>
      <w:pPr>
        <w:pStyle w:val="807"/>
        <w:ind w:firstLine="600"/>
        <w:spacing w:line="500" w:lineRule="exact"/>
        <w:rPr>
          <w:rFonts w:hint="eastAsia"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p>
    <w:p>
      <w:pPr>
        <w:pStyle w:val="729"/>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p>
    <w:p>
      <w:pPr>
        <w:pStyle w:val="729"/>
        <w:ind w:firstLine="480"/>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w:t>
      </w:r>
      <w:r>
        <w:rPr>
          <w:rFonts w:ascii="宋体" w:hAnsi="宋体"/>
          <w:color w:val="000000"/>
          <w:sz w:val="24"/>
        </w:rPr>
        <w:t xml:space="preserve">理有关问题的通知》（财办库〔2008〕248号文）。</w:t>
      </w:r>
      <w:r>
        <w:rPr>
          <w:rFonts w:hint="eastAsia" w:ascii="宋体" w:hAnsi="宋体"/>
          <w:b/>
          <w:bCs/>
          <w:color w:val="000000"/>
          <w:sz w:val="24"/>
        </w:rPr>
      </w:r>
      <w:r/>
    </w:p>
    <w:p>
      <w:pPr>
        <w:pStyle w:val="729"/>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rPr>
          <w:rFonts w:hint="eastAsia" w:ascii="宋体" w:hAnsi="宋体"/>
          <w:b/>
          <w:bCs/>
          <w:color w:val="000000"/>
          <w:sz w:val="24"/>
        </w:rPr>
      </w:r>
      <w:r/>
    </w:p>
    <w:p>
      <w:pPr>
        <w:pStyle w:val="729"/>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29"/>
        <w:ind w:firstLine="480"/>
        <w:jc w:val="left"/>
        <w:spacing w:line="500" w:lineRule="exact"/>
        <w:tabs>
          <w:tab w:val="left" w:pos="1980" w:leader="none"/>
        </w:tabs>
        <w:rPr>
          <w:color w:val="000000"/>
          <w:sz w:val="24"/>
        </w:rPr>
      </w:pPr>
      <w:r>
        <w:rPr>
          <w:color w:val="000000"/>
          <w:sz w:val="24"/>
        </w:rPr>
        <w:t xml:space="preserve">33.2.2采购人拟</w:t>
      </w:r>
      <w:r>
        <w:rPr>
          <w:color w:val="000000"/>
          <w:sz w:val="24"/>
        </w:rPr>
        <w:t xml:space="preserve">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29"/>
        <w:ind w:firstLine="482"/>
        <w:jc w:val="left"/>
        <w:spacing w:line="50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729"/>
        <w:ind w:firstLine="480"/>
        <w:jc w:val="left"/>
        <w:spacing w:line="50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w:t>
      </w:r>
      <w:r>
        <w:rPr>
          <w:color w:val="000000"/>
          <w:sz w:val="24"/>
        </w:rPr>
        <w:t xml:space="preserve">节能产品或环境标志产品，依据品目清单和认证证书实施政府优先采购。优先采购的具体规定见第四章《评标方法和评标标准》（如涉及）。</w:t>
      </w:r>
      <w:r/>
    </w:p>
    <w:p>
      <w:pPr>
        <w:pStyle w:val="729"/>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r>
      <w:r/>
    </w:p>
    <w:p>
      <w:pPr>
        <w:pStyle w:val="729"/>
        <w:ind w:firstLine="480"/>
        <w:jc w:val="left"/>
        <w:spacing w:line="500" w:lineRule="exact"/>
        <w:tabs>
          <w:tab w:val="left" w:pos="1980" w:leader="none"/>
          <w:tab w:val="left" w:pos="2014" w:leader="none"/>
        </w:tabs>
        <w:rPr>
          <w:rFonts w:hint="eastAsia" w:ascii="宋体" w:hAnsi="宋体"/>
          <w:b/>
          <w:bCs/>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w:t>
      </w:r>
      <w:r>
        <w:rPr>
          <w:rFonts w:hint="eastAsia"/>
          <w:color w:val="000000"/>
          <w:sz w:val="24"/>
        </w:rPr>
        <w:t xml:space="preserve">商必须严格执行，必要时应按照要求在履约验收环节出具检测报告。</w:t>
      </w:r>
      <w:r>
        <w:rPr>
          <w:rFonts w:hint="eastAsia" w:ascii="宋体" w:hAnsi="宋体"/>
          <w:b/>
          <w:bCs/>
          <w:color w:val="000000"/>
          <w:sz w:val="24"/>
        </w:rPr>
      </w:r>
      <w:r/>
    </w:p>
    <w:p>
      <w:pPr>
        <w:pStyle w:val="729"/>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r>
      <w:r/>
    </w:p>
    <w:p>
      <w:pPr>
        <w:pStyle w:val="729"/>
        <w:ind w:firstLine="480"/>
        <w:jc w:val="left"/>
        <w:spacing w:line="500" w:lineRule="exact"/>
        <w:tabs>
          <w:tab w:val="left" w:pos="1080" w:leader="none"/>
          <w:tab w:val="left" w:pos="1589" w:leader="none"/>
          <w:tab w:val="left" w:pos="2014" w:leader="none"/>
        </w:tabs>
        <w:rPr>
          <w:rFonts w:hint="eastAsia" w:ascii="宋体" w:hAnsi="宋体"/>
          <w:b/>
          <w:bCs/>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rPr>
      </w:r>
      <w:r/>
    </w:p>
    <w:p>
      <w:pPr>
        <w:pStyle w:val="729"/>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r>
      <w:r/>
    </w:p>
    <w:p>
      <w:pPr>
        <w:pStyle w:val="729"/>
        <w:ind w:firstLine="480"/>
        <w:jc w:val="left"/>
        <w:spacing w:line="50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729"/>
        <w:ind w:firstLine="482"/>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r>
      <w:r/>
    </w:p>
    <w:p>
      <w:pPr>
        <w:pStyle w:val="729"/>
        <w:ind w:firstLine="480"/>
        <w:jc w:val="left"/>
        <w:spacing w:line="500" w:lineRule="exact"/>
        <w:tabs>
          <w:tab w:val="left" w:pos="1080" w:leader="none"/>
          <w:tab w:val="left" w:pos="1589" w:leader="none"/>
          <w:tab w:val="left" w:pos="2014" w:leader="none"/>
        </w:tabs>
        <w:rPr>
          <w:rFonts w:hint="eastAsia" w:ascii="宋体" w:hAnsi="宋体"/>
          <w:b/>
          <w:bCs/>
          <w:color w:val="000000"/>
          <w:sz w:val="24"/>
        </w:rPr>
      </w:pP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rPr>
      </w:r>
      <w:r/>
    </w:p>
    <w:p>
      <w:pPr>
        <w:pStyle w:val="729"/>
        <w:ind w:firstLine="482"/>
        <w:jc w:val="left"/>
        <w:spacing w:line="50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p>
    <w:p>
      <w:pPr>
        <w:pStyle w:val="729"/>
        <w:ind w:firstLine="480"/>
        <w:jc w:val="left"/>
        <w:spacing w:line="500" w:lineRule="exact"/>
        <w:tabs>
          <w:tab w:val="left" w:pos="1980" w:leader="none"/>
          <w:tab w:val="left" w:pos="2014" w:leader="none"/>
        </w:tabs>
        <w:rPr>
          <w:rFonts w:hint="eastAsia" w:ascii="宋体" w:hAnsi="宋体"/>
          <w:b/>
          <w:bCs/>
          <w:color w:val="000000"/>
          <w:sz w:val="24"/>
        </w:rPr>
      </w:pPr>
      <w:r>
        <w:rPr>
          <w:rFonts w:hint="eastAsia"/>
          <w:color w:val="000000"/>
          <w:sz w:val="24"/>
        </w:rPr>
        <w:t xml:space="preserve">采购人要将创新要求嵌入采购项目需求，可在招标文件中设定评审规则，优先采购各级政府部门公开</w:t>
      </w:r>
      <w:r>
        <w:rPr>
          <w:rFonts w:hint="eastAsia"/>
          <w:color w:val="000000"/>
          <w:sz w:val="24"/>
        </w:rPr>
        <w:t xml:space="preserve">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rPr>
      </w:r>
      <w:r/>
    </w:p>
    <w:p>
      <w:pPr>
        <w:pStyle w:val="807"/>
        <w:ind w:firstLine="482"/>
        <w:spacing w:line="500" w:lineRule="exact"/>
        <w:rPr>
          <w:rFonts w:hint="eastAsia" w:ascii="宋体" w:hAnsi="宋体" w:cs="Times New Roman"/>
          <w:b/>
          <w:bCs/>
        </w:rPr>
      </w:pPr>
      <w:r>
        <w:rPr>
          <w:rFonts w:hint="eastAsia" w:ascii="宋体" w:hAnsi="宋体" w:cs="Times New Roman"/>
          <w:b/>
          <w:bCs/>
        </w:rPr>
        <w:t xml:space="preserve">3</w:t>
      </w:r>
      <w:r>
        <w:rPr>
          <w:rFonts w:ascii="宋体" w:hAnsi="宋体" w:cs="Times New Roman"/>
          <w:b/>
          <w:bCs/>
        </w:rPr>
        <w:t xml:space="preserve">3.8</w:t>
      </w:r>
      <w:r>
        <w:rPr>
          <w:rFonts w:hint="eastAsia" w:ascii="宋体" w:hAnsi="宋体" w:cs="Times New Roman"/>
          <w:b/>
          <w:bCs/>
        </w:rPr>
        <w:t xml:space="preserve">绿色数据中心政策</w:t>
      </w:r>
      <w:r/>
    </w:p>
    <w:p>
      <w:pPr>
        <w:pStyle w:val="729"/>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w:t>
      </w:r>
      <w:r>
        <w:rPr>
          <w:rFonts w:hint="eastAsia"/>
          <w:color w:val="000000"/>
          <w:sz w:val="24"/>
        </w:rPr>
        <w:t xml:space="preserve">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w:t>
      </w:r>
      <w:r>
        <w:rPr>
          <w:rFonts w:hint="eastAsia"/>
          <w:color w:val="000000"/>
          <w:sz w:val="24"/>
        </w:rPr>
        <w:t xml:space="preserve">在验收阶段提供相关检测报告、认证报告。</w:t>
      </w:r>
      <w:r>
        <w:rPr>
          <w:color w:val="000000"/>
          <w:sz w:val="24"/>
        </w:rPr>
      </w:r>
      <w:r/>
    </w:p>
    <w:p>
      <w:pPr>
        <w:pStyle w:val="729"/>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w:t>
      </w:r>
      <w:r>
        <w:rPr>
          <w:rFonts w:hint="eastAsia"/>
          <w:color w:val="000000"/>
          <w:sz w:val="24"/>
        </w:rPr>
        <w:t xml:space="preserve">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729"/>
        <w:ind w:firstLine="482"/>
        <w:spacing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rPr>
      </w:r>
      <w:r/>
    </w:p>
    <w:p>
      <w:pPr>
        <w:pStyle w:val="729"/>
        <w:ind w:firstLine="420"/>
        <w:spacing w:line="500" w:lineRule="exact"/>
        <w:rPr>
          <w:rFonts w:hint="eastAsia" w:ascii="宋体" w:hAnsi="宋体"/>
          <w:b/>
          <w:bCs/>
          <w:color w:val="000000"/>
          <w:sz w:val="24"/>
        </w:rPr>
      </w:pPr>
      <w:r>
        <w:rPr>
          <w:rFonts w:hint="eastAsia" w:ascii="宋体" w:hAnsi="宋体"/>
          <w:b/>
          <w:bCs/>
          <w:color w:val="000000"/>
          <w:sz w:val="24"/>
        </w:rPr>
        <w:t xml:space="preserve">33.9电子履约保函政策</w:t>
      </w:r>
      <w:r/>
    </w:p>
    <w:p>
      <w:pPr>
        <w:pStyle w:val="729"/>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w:t>
      </w:r>
      <w:r>
        <w:rPr>
          <w:rFonts w:hint="eastAsia"/>
          <w:color w:val="000000"/>
          <w:sz w:val="24"/>
        </w:rPr>
        <w:t xml:space="preserve">三方机构按照招标文件约定的履约保证金数额对采购人承担赔偿责任。具体要求详见《关于在全省政府采购领域推行电子履约保函（保险）的通知》（苏财购〔2023〕150号）。</w:t>
      </w:r>
      <w:r/>
    </w:p>
    <w:p>
      <w:pPr>
        <w:pStyle w:val="729"/>
        <w:ind w:firstLine="480"/>
        <w:spacing w:line="500" w:lineRule="exact"/>
        <w:rPr>
          <w:rFonts w:hint="eastAsia" w:ascii="宋体" w:hAnsi="宋体"/>
          <w:color w:val="000000"/>
          <w:sz w:val="24"/>
        </w:rPr>
      </w:pPr>
      <w:r>
        <w:rPr>
          <w:rFonts w:hint="eastAsia" w:ascii="宋体" w:hAnsi="宋体"/>
          <w:color w:val="000000"/>
          <w:sz w:val="24"/>
        </w:rPr>
      </w:r>
      <w:r/>
    </w:p>
    <w:p>
      <w:pPr>
        <w:pStyle w:val="729"/>
        <w:jc w:val="center"/>
        <w:spacing w:line="360" w:lineRule="auto"/>
        <w:rPr>
          <w:rFonts w:hint="eastAsia"/>
          <w:b/>
          <w:sz w:val="36"/>
          <w:szCs w:val="36"/>
        </w:rPr>
        <w:outlineLvl w:val="0"/>
      </w:pPr>
      <w:r>
        <w:rPr>
          <w:b/>
          <w:sz w:val="36"/>
          <w:szCs w:val="36"/>
        </w:rPr>
        <w:t xml:space="preserve">第三章  </w:t>
      </w:r>
      <w:bookmarkEnd w:id="102"/>
      <w:r/>
      <w:bookmarkEnd w:id="103"/>
      <w:r/>
      <w:bookmarkEnd w:id="104"/>
      <w:r/>
      <w:bookmarkEnd w:id="106"/>
      <w:r/>
      <w:bookmarkEnd w:id="107"/>
      <w:r/>
      <w:bookmarkEnd w:id="108"/>
      <w:r/>
      <w:bookmarkEnd w:id="109"/>
      <w:r/>
      <w:bookmarkEnd w:id="110"/>
      <w:r/>
      <w:bookmarkEnd w:id="112"/>
      <w:r/>
      <w:bookmarkEnd w:id="113"/>
      <w:r/>
      <w:bookmarkEnd w:id="114"/>
      <w:r/>
      <w:bookmarkEnd w:id="115"/>
      <w:r/>
      <w:bookmarkEnd w:id="116"/>
      <w:r>
        <w:rPr>
          <w:b/>
          <w:sz w:val="36"/>
          <w:szCs w:val="36"/>
        </w:rPr>
        <w:t xml:space="preserve">资格审查</w:t>
      </w:r>
      <w:bookmarkEnd w:id="117"/>
      <w:r/>
      <w:bookmarkStart w:id="233" w:name="_Toc487900382"/>
      <w:r>
        <w:rPr>
          <w:rFonts w:hint="eastAsia"/>
          <w:b/>
          <w:sz w:val="36"/>
          <w:szCs w:val="36"/>
        </w:rPr>
      </w:r>
      <w:r/>
    </w:p>
    <w:p>
      <w:pPr>
        <w:pStyle w:val="729"/>
        <w:ind w:firstLine="2891"/>
        <w:spacing w:line="360" w:lineRule="auto"/>
        <w:tabs>
          <w:tab w:val="left" w:pos="360" w:leader="none"/>
          <w:tab w:val="left" w:pos="900" w:leader="none"/>
        </w:tabs>
        <w:rPr>
          <w:b/>
          <w:sz w:val="32"/>
          <w:szCs w:val="32"/>
        </w:rPr>
        <w:outlineLvl w:val="1"/>
      </w:pPr>
      <w:r/>
      <w:bookmarkStart w:id="234" w:name="_Toc99301422"/>
      <w:r>
        <w:rPr>
          <w:rFonts w:hint="eastAsia"/>
          <w:b/>
          <w:sz w:val="32"/>
          <w:szCs w:val="32"/>
        </w:rPr>
        <w:t xml:space="preserve">第一节 </w:t>
      </w:r>
      <w:r>
        <w:rPr>
          <w:b/>
          <w:sz w:val="32"/>
          <w:szCs w:val="32"/>
        </w:rPr>
        <w:t xml:space="preserve">资格审查程序</w:t>
      </w:r>
      <w:bookmarkEnd w:id="234"/>
      <w:r>
        <w:rPr>
          <w:b/>
          <w:sz w:val="32"/>
          <w:szCs w:val="32"/>
        </w:rPr>
      </w:r>
      <w:r/>
    </w:p>
    <w:p>
      <w:pPr>
        <w:pStyle w:val="729"/>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一、</w:t>
      </w:r>
      <w:r>
        <w:rPr>
          <w:sz w:val="24"/>
        </w:rPr>
        <w:t xml:space="preserve">开标结束后，采购人代表将根据《资格审查要求》中的规定，对投标人进行资格审查，并形成资格审查结果。</w:t>
      </w:r>
      <w:r/>
    </w:p>
    <w:p>
      <w:pPr>
        <w:pStyle w:val="729"/>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二、</w:t>
      </w:r>
      <w:r>
        <w:rPr>
          <w:sz w:val="24"/>
        </w:rPr>
        <w:t xml:space="preserve">《资格审查要求》中对格式有要求的，除招标文件另有规定外，均为“实质性格式”文件。</w:t>
      </w:r>
      <w:r/>
    </w:p>
    <w:p>
      <w:pPr>
        <w:pStyle w:val="729"/>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三、</w:t>
      </w:r>
      <w:r>
        <w:rPr>
          <w:sz w:val="24"/>
        </w:rPr>
        <w:t xml:space="preserve">投标人《资格证明文件》有任何一项不符合《资格审查要求》的，资格审查不合格，其投标无效。</w:t>
      </w:r>
      <w:r/>
    </w:p>
    <w:p>
      <w:pPr>
        <w:pStyle w:val="729"/>
        <w:ind w:firstLine="480"/>
        <w:spacing w:line="360" w:lineRule="auto"/>
        <w:tabs>
          <w:tab w:val="left" w:pos="426" w:leader="none"/>
          <w:tab w:val="left" w:pos="851" w:leader="none"/>
        </w:tabs>
        <w:rPr>
          <w:sz w:val="24"/>
        </w:rPr>
        <w:outlineLvl w:val="1"/>
      </w:pPr>
      <w:r>
        <w:rPr>
          <w:rFonts w:ascii="Symbol" w:hAnsi="Symbol" w:cs="Symbol"/>
          <w:color w:val="000000"/>
          <w:sz w:val="24"/>
        </w:rPr>
        <w:t xml:space="preserve">四、</w:t>
      </w:r>
      <w:r>
        <w:rPr>
          <w:sz w:val="24"/>
        </w:rPr>
        <w:t xml:space="preserve">资格审查合格的投标人不足3家的，不进行评</w:t>
      </w:r>
      <w:r>
        <w:rPr>
          <w:sz w:val="24"/>
        </w:rPr>
        <w:t xml:space="preserve">标。</w:t>
      </w:r>
      <w:r/>
    </w:p>
    <w:p>
      <w:pPr>
        <w:pStyle w:val="729"/>
        <w:ind w:firstLine="2891"/>
        <w:spacing w:line="360" w:lineRule="auto"/>
        <w:tabs>
          <w:tab w:val="left" w:pos="360" w:leader="none"/>
          <w:tab w:val="left" w:pos="900" w:leader="none"/>
        </w:tabs>
        <w:rPr>
          <w:rFonts w:hint="eastAsia" w:ascii="宋体" w:hAnsi="宋体" w:cs="宋体"/>
          <w:b/>
          <w:szCs w:val="21"/>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rFonts w:hint="eastAsia" w:ascii="宋体" w:hAnsi="宋体" w:cs="宋体"/>
          <w:b/>
          <w:szCs w:val="21"/>
        </w:rPr>
      </w:r>
      <w:r/>
    </w:p>
    <w:tbl>
      <w:tblPr>
        <w:tblW w:w="49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376"/>
        <w:gridCol w:w="5732"/>
        <w:gridCol w:w="1821"/>
      </w:tblGrid>
      <w:tr>
        <w:trPr>
          <w:cantSplit/>
          <w:trHeight w:val="468"/>
          <w:tblHeader/>
        </w:trPr>
        <w:tc>
          <w:tcPr>
            <w:tcW w:w="455" w:type="pct"/>
            <w:vAlign w:val="center"/>
            <w:textDirection w:val="lrTb"/>
            <w:noWrap w:val="false"/>
          </w:tcPr>
          <w:p>
            <w:pPr>
              <w:pStyle w:val="729"/>
              <w:jc w:val="center"/>
              <w:tabs>
                <w:tab w:val="left" w:pos="1080" w:leader="none"/>
              </w:tabs>
              <w:rPr>
                <w:rFonts w:hint="eastAsia" w:ascii="宋体" w:hAnsi="宋体" w:cs="宋体"/>
                <w:b/>
                <w:szCs w:val="21"/>
              </w:rPr>
            </w:pPr>
            <w:r/>
            <w:bookmarkStart w:id="235" w:name="_Hlt487972895"/>
            <w:r/>
            <w:bookmarkEnd w:id="235"/>
            <w:r>
              <w:rPr>
                <w:rFonts w:hint="eastAsia" w:ascii="宋体" w:hAnsi="宋体" w:cs="宋体"/>
                <w:b/>
                <w:szCs w:val="21"/>
              </w:rPr>
              <w:t xml:space="preserve">序号</w:t>
            </w:r>
            <w:r/>
          </w:p>
        </w:tc>
        <w:tc>
          <w:tcPr>
            <w:tcW w:w="700" w:type="pct"/>
            <w:vAlign w:val="center"/>
            <w:textDirection w:val="lrTb"/>
            <w:noWrap w:val="false"/>
          </w:tcPr>
          <w:p>
            <w:pPr>
              <w:pStyle w:val="729"/>
              <w:jc w:val="center"/>
              <w:tabs>
                <w:tab w:val="left" w:pos="1080" w:leader="none"/>
              </w:tabs>
              <w:rPr>
                <w:rFonts w:hint="eastAsia" w:ascii="宋体" w:hAnsi="宋体" w:cs="宋体"/>
                <w:b/>
                <w:szCs w:val="21"/>
              </w:rPr>
            </w:pPr>
            <w:r>
              <w:rPr>
                <w:rFonts w:hint="eastAsia" w:ascii="宋体" w:hAnsi="宋体" w:cs="宋体"/>
                <w:b/>
                <w:szCs w:val="21"/>
              </w:rPr>
              <w:t xml:space="preserve">审查因素</w:t>
            </w:r>
            <w:r/>
          </w:p>
        </w:tc>
        <w:tc>
          <w:tcPr>
            <w:tcW w:w="2916" w:type="pct"/>
            <w:vAlign w:val="center"/>
            <w:textDirection w:val="lrTb"/>
            <w:noWrap w:val="false"/>
          </w:tcPr>
          <w:p>
            <w:pPr>
              <w:pStyle w:val="729"/>
              <w:jc w:val="center"/>
              <w:tabs>
                <w:tab w:val="left" w:pos="1080" w:leader="none"/>
              </w:tabs>
              <w:rPr>
                <w:rFonts w:hint="eastAsia" w:ascii="宋体" w:hAnsi="宋体" w:cs="宋体"/>
                <w:b/>
                <w:szCs w:val="21"/>
              </w:rPr>
            </w:pPr>
            <w:r>
              <w:rPr>
                <w:rFonts w:hint="eastAsia" w:ascii="宋体" w:hAnsi="宋体" w:cs="宋体"/>
                <w:b/>
                <w:szCs w:val="21"/>
              </w:rPr>
              <w:t xml:space="preserve">审查内容</w:t>
            </w:r>
            <w:r/>
          </w:p>
        </w:tc>
        <w:tc>
          <w:tcPr>
            <w:tcW w:w="927" w:type="pct"/>
            <w:vAlign w:val="center"/>
            <w:textDirection w:val="lrTb"/>
            <w:noWrap w:val="false"/>
          </w:tcPr>
          <w:p>
            <w:pPr>
              <w:pStyle w:val="729"/>
              <w:jc w:val="center"/>
              <w:tabs>
                <w:tab w:val="left" w:pos="1080" w:leader="none"/>
              </w:tabs>
              <w:rPr>
                <w:rFonts w:hint="eastAsia" w:ascii="宋体" w:hAnsi="宋体" w:cs="宋体"/>
                <w:b/>
                <w:szCs w:val="21"/>
              </w:rPr>
            </w:pPr>
            <w:r>
              <w:rPr>
                <w:rFonts w:hint="eastAsia" w:ascii="宋体" w:hAnsi="宋体" w:cs="宋体"/>
                <w:b/>
                <w:szCs w:val="21"/>
              </w:rPr>
              <w:t xml:space="preserve">格式要求</w:t>
            </w:r>
            <w:r/>
          </w:p>
        </w:tc>
      </w:tr>
      <w:tr>
        <w:trPr>
          <w:cantSplit/>
          <w:trHeight w:val="46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1</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营业执照副本（事业单位法人证书）</w:t>
            </w:r>
            <w:r/>
          </w:p>
        </w:tc>
        <w:tc>
          <w:tcPr>
            <w:tcW w:w="2916" w:type="pct"/>
            <w:vAlign w:val="center"/>
            <w:textDirection w:val="lrTb"/>
            <w:noWrap w:val="false"/>
          </w:tcPr>
          <w:p>
            <w:pPr>
              <w:pStyle w:val="729"/>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w:t>
            </w:r>
            <w:r/>
          </w:p>
        </w:tc>
      </w:tr>
      <w:tr>
        <w:trPr>
          <w:cantSplit/>
          <w:trHeight w:val="46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2</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法人授权书</w:t>
            </w:r>
            <w:r/>
          </w:p>
        </w:tc>
        <w:tc>
          <w:tcPr>
            <w:tcW w:w="2916" w:type="pct"/>
            <w:vAlign w:val="center"/>
            <w:textDirection w:val="lrTb"/>
            <w:noWrap w:val="false"/>
          </w:tcPr>
          <w:p>
            <w:pPr>
              <w:pStyle w:val="729"/>
              <w:jc w:val="left"/>
              <w:spacing w:line="360" w:lineRule="auto"/>
              <w:widowControl/>
              <w:rPr>
                <w:rFonts w:hint="eastAsia" w:ascii="宋体" w:hAnsi="宋体" w:cs="宋体"/>
                <w:szCs w:val="21"/>
              </w:rPr>
            </w:pPr>
            <w:r>
              <w:rPr>
                <w:rFonts w:hint="eastAsia" w:ascii="宋体" w:hAnsi="宋体" w:cs="宋体"/>
                <w:bCs/>
                <w:szCs w:val="21"/>
              </w:rPr>
              <w:t xml:space="preserve">法人授权书、法定代表人身份证及被授权人身份证</w:t>
            </w:r>
            <w:r>
              <w:rPr>
                <w:rFonts w:hint="eastAsia" w:ascii="宋体" w:hAnsi="宋体" w:cs="宋体"/>
                <w:szCs w:val="21"/>
              </w:rPr>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r>
        <w:trPr>
          <w:cantSplit/>
          <w:trHeight w:val="46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3</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投标人资格声明</w:t>
            </w:r>
            <w:r/>
          </w:p>
        </w:tc>
        <w:tc>
          <w:tcPr>
            <w:tcW w:w="2916" w:type="pct"/>
            <w:vAlign w:val="center"/>
            <w:textDirection w:val="lrTb"/>
            <w:noWrap w:val="false"/>
          </w:tcPr>
          <w:p>
            <w:pPr>
              <w:pStyle w:val="729"/>
              <w:tabs>
                <w:tab w:val="left" w:pos="1080" w:leader="none"/>
              </w:tabs>
              <w:rPr>
                <w:rFonts w:hint="eastAsia" w:ascii="宋体" w:hAnsi="宋体" w:cs="宋体"/>
                <w:szCs w:val="21"/>
              </w:rPr>
            </w:pPr>
            <w:r>
              <w:rPr>
                <w:rFonts w:hint="eastAsia" w:ascii="宋体" w:hAnsi="宋体" w:cs="宋体"/>
                <w:szCs w:val="21"/>
              </w:rPr>
              <w:t xml:space="preserve">《资格承诺声明函》</w:t>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r>
        <w:trPr>
          <w:cantSplit/>
          <w:trHeight w:val="46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4</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投标人信用记录</w:t>
            </w:r>
            <w:r/>
          </w:p>
        </w:tc>
        <w:tc>
          <w:tcPr>
            <w:tcW w:w="2916" w:type="pct"/>
            <w:vAlign w:val="center"/>
            <w:textDirection w:val="lrTb"/>
            <w:noWrap w:val="false"/>
          </w:tcPr>
          <w:p>
            <w:pPr>
              <w:pStyle w:val="729"/>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p>
          <w:p>
            <w:pPr>
              <w:pStyle w:val="729"/>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、截止时点：投标截止时间以后、资格审查阶段采购人或采购代理机构的实际查询时间；</w:t>
            </w:r>
            <w:r/>
          </w:p>
          <w:p>
            <w:pPr>
              <w:pStyle w:val="729"/>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3、信用信息查询记录和证据留存具体方式：查询结果网页打印页作为查询记录和证据，与其他采购文件一并保存；</w:t>
            </w:r>
            <w:r/>
          </w:p>
          <w:p>
            <w:pPr>
              <w:pStyle w:val="729"/>
              <w:tabs>
                <w:tab w:val="left" w:pos="1080" w:leader="none"/>
              </w:tabs>
              <w:rPr>
                <w:rFonts w:hint="eastAsia" w:ascii="宋体" w:hAnsi="宋体" w:cs="宋体"/>
                <w:szCs w:val="21"/>
              </w:rPr>
            </w:pPr>
            <w:r>
              <w:rPr>
                <w:rFonts w:hint="eastAsia" w:ascii="宋体" w:hAnsi="宋体" w:cs="宋体"/>
                <w:szCs w:val="21"/>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无须投标人提供</w:t>
            </w:r>
            <w:r/>
          </w:p>
        </w:tc>
      </w:tr>
      <w:tr>
        <w:trPr>
          <w:cantSplit/>
          <w:trHeight w:val="46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5</w:t>
            </w:r>
            <w:r/>
          </w:p>
        </w:tc>
        <w:tc>
          <w:tcPr>
            <w:tcW w:w="700" w:type="pct"/>
            <w:vAlign w:val="center"/>
            <w:textDirection w:val="lrTb"/>
            <w:noWrap w:val="false"/>
          </w:tcPr>
          <w:p>
            <w:pPr>
              <w:pStyle w:val="729"/>
              <w:ind w:firstLine="211"/>
              <w:jc w:val="center"/>
              <w:tabs>
                <w:tab w:val="left" w:pos="1080" w:leader="none"/>
              </w:tabs>
              <w:rPr>
                <w:rFonts w:hint="eastAsia" w:ascii="宋体" w:hAnsi="宋体" w:cs="宋体"/>
                <w:b/>
                <w:bCs/>
                <w:szCs w:val="21"/>
              </w:rPr>
            </w:pPr>
            <w:r>
              <w:rPr>
                <w:rFonts w:hint="eastAsia" w:ascii="宋体" w:hAnsi="宋体" w:cs="宋体"/>
                <w:b/>
                <w:bCs/>
                <w:color w:val="000000"/>
                <w:szCs w:val="21"/>
              </w:rPr>
              <w:t xml:space="preserve">信用承诺</w:t>
            </w:r>
            <w:r>
              <w:rPr>
                <w:rFonts w:hint="eastAsia" w:ascii="宋体" w:hAnsi="宋体" w:cs="宋体"/>
                <w:b/>
                <w:bCs/>
                <w:szCs w:val="21"/>
              </w:rPr>
            </w:r>
            <w:r/>
          </w:p>
        </w:tc>
        <w:tc>
          <w:tcPr>
            <w:tcW w:w="2916" w:type="pct"/>
            <w:vAlign w:val="center"/>
            <w:textDirection w:val="lrTb"/>
            <w:noWrap w:val="false"/>
          </w:tcPr>
          <w:p>
            <w:pPr>
              <w:pStyle w:val="729"/>
              <w:tabs>
                <w:tab w:val="left" w:pos="1080" w:leader="none"/>
              </w:tabs>
              <w:rPr>
                <w:rFonts w:hint="eastAsia" w:ascii="宋体" w:hAnsi="宋体" w:cs="宋体"/>
                <w:bCs/>
                <w:szCs w:val="21"/>
              </w:rPr>
            </w:pPr>
            <w:r>
              <w:rPr>
                <w:rFonts w:hint="eastAsia" w:ascii="宋体" w:hAnsi="宋体" w:cs="宋体"/>
                <w:color w:val="000000"/>
                <w:szCs w:val="21"/>
              </w:rPr>
              <w:t xml:space="preserve">《政府采购供应商信用承诺书》</w:t>
            </w:r>
            <w:r>
              <w:rPr>
                <w:rFonts w:hint="eastAsia" w:ascii="宋体" w:hAnsi="宋体" w:cs="宋体"/>
                <w:bCs/>
                <w:szCs w:val="21"/>
              </w:rPr>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r>
        <w:trPr>
          <w:cantSplit/>
          <w:trHeight w:val="46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6</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落实政府采购政策需满足的资格要求</w:t>
            </w:r>
            <w:r/>
          </w:p>
        </w:tc>
        <w:tc>
          <w:tcPr>
            <w:tcW w:w="2916" w:type="pct"/>
            <w:vAlign w:val="center"/>
            <w:textDirection w:val="lrTb"/>
            <w:noWrap w:val="false"/>
          </w:tcPr>
          <w:p>
            <w:pPr>
              <w:pStyle w:val="729"/>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《中小企业声明函》、《残疾人福利性单位声明函》格式见《投标文件格式》</w:t>
            </w:r>
            <w:r/>
          </w:p>
        </w:tc>
      </w:tr>
      <w:tr>
        <w:trPr>
          <w:cantSplit/>
          <w:trHeight w:val="659"/>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7</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本项目的特定资格要求</w:t>
            </w:r>
            <w:r/>
          </w:p>
        </w:tc>
        <w:tc>
          <w:tcPr>
            <w:tcW w:w="2916" w:type="pct"/>
            <w:vAlign w:val="center"/>
            <w:textDirection w:val="lrTb"/>
            <w:noWrap w:val="false"/>
          </w:tcPr>
          <w:p>
            <w:pPr>
              <w:pStyle w:val="729"/>
              <w:tabs>
                <w:tab w:val="left" w:pos="1080" w:leader="none"/>
              </w:tabs>
              <w:rPr>
                <w:rFonts w:hint="eastAsia" w:ascii="宋体" w:hAnsi="宋体" w:cs="宋体"/>
                <w:szCs w:val="21"/>
              </w:rPr>
            </w:pPr>
            <w:r>
              <w:rPr>
                <w:rFonts w:hint="eastAsia" w:ascii="宋体" w:hAnsi="宋体" w:cs="宋体"/>
                <w:szCs w:val="21"/>
              </w:rPr>
              <w:t xml:space="preserve">无</w:t>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r>
            <w:r/>
          </w:p>
        </w:tc>
      </w:tr>
      <w:tr>
        <w:trPr>
          <w:cantSplit/>
          <w:trHeight w:val="4548"/>
        </w:trPr>
        <w:tc>
          <w:tcPr>
            <w:tcW w:w="455"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8</w:t>
            </w:r>
            <w:r/>
          </w:p>
        </w:tc>
        <w:tc>
          <w:tcPr>
            <w:tcW w:w="700" w:type="pct"/>
            <w:vAlign w:val="center"/>
            <w:textDirection w:val="lrTb"/>
            <w:noWrap w:val="false"/>
          </w:tcPr>
          <w:p>
            <w:pPr>
              <w:pStyle w:val="729"/>
              <w:jc w:val="center"/>
              <w:tabs>
                <w:tab w:val="left" w:pos="1080" w:leader="none"/>
              </w:tabs>
              <w:rPr>
                <w:rFonts w:hint="eastAsia" w:ascii="宋体" w:hAnsi="宋体" w:cs="宋体"/>
                <w:b/>
                <w:bCs/>
                <w:szCs w:val="21"/>
              </w:rPr>
            </w:pPr>
            <w:r>
              <w:rPr>
                <w:rFonts w:hint="eastAsia" w:ascii="宋体" w:hAnsi="宋体" w:cs="宋体"/>
                <w:b/>
                <w:bCs/>
                <w:szCs w:val="21"/>
              </w:rPr>
              <w:t xml:space="preserve">联合体协议（如有）</w:t>
            </w:r>
            <w:r/>
          </w:p>
        </w:tc>
        <w:tc>
          <w:tcPr>
            <w:tcW w:w="2916" w:type="pct"/>
            <w:vAlign w:val="center"/>
            <w:textDirection w:val="lrTb"/>
            <w:noWrap w:val="false"/>
          </w:tcPr>
          <w:p>
            <w:pPr>
              <w:pStyle w:val="729"/>
              <w:tabs>
                <w:tab w:val="left" w:pos="1080" w:leader="none"/>
              </w:tabs>
              <w:rPr>
                <w:rFonts w:hint="eastAsia" w:ascii="宋体" w:hAnsi="宋体" w:cs="宋体"/>
                <w:szCs w:val="21"/>
              </w:rPr>
            </w:pPr>
            <w:r>
              <w:rPr>
                <w:rFonts w:hint="eastAsia" w:ascii="宋体" w:hAnsi="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729"/>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、联合体各成员单位均须提供本表中序号第1、3、5、6项的证明文件。</w:t>
            </w:r>
            <w:r/>
          </w:p>
          <w:p>
            <w:pPr>
              <w:pStyle w:val="729"/>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p>
          <w:p>
            <w:pPr>
              <w:pStyle w:val="729"/>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pStyle w:val="729"/>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729"/>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6、若联合体中任一成员单位中途退出，则该联合体的投标无效。</w:t>
            </w:r>
            <w:r/>
          </w:p>
          <w:p>
            <w:pPr>
              <w:pStyle w:val="729"/>
              <w:tabs>
                <w:tab w:val="left" w:pos="1080" w:leader="none"/>
              </w:tabs>
              <w:rPr>
                <w:rFonts w:hint="eastAsia" w:ascii="宋体" w:hAnsi="宋体" w:cs="宋体"/>
                <w:szCs w:val="21"/>
              </w:rPr>
            </w:pPr>
            <w:r>
              <w:rPr>
                <w:rFonts w:hint="eastAsia" w:ascii="宋体" w:hAnsi="宋体" w:cs="宋体"/>
                <w:szCs w:val="21"/>
              </w:rPr>
              <w:t xml:space="preserve">7、本项目不接受联合体投标时，投标人不得为联合体。</w:t>
            </w:r>
            <w:r/>
          </w:p>
        </w:tc>
        <w:tc>
          <w:tcPr>
            <w:tcW w:w="927" w:type="pct"/>
            <w:vAlign w:val="center"/>
            <w:textDirection w:val="lrTb"/>
            <w:noWrap w:val="false"/>
          </w:tcPr>
          <w:p>
            <w:pPr>
              <w:pStyle w:val="729"/>
              <w:jc w:val="center"/>
              <w:tabs>
                <w:tab w:val="left" w:pos="1080" w:leader="none"/>
              </w:tabs>
              <w:rPr>
                <w:rFonts w:hint="eastAsia" w:ascii="宋体" w:hAnsi="宋体" w:cs="宋体"/>
                <w:szCs w:val="21"/>
              </w:rPr>
            </w:pPr>
            <w:r>
              <w:rPr>
                <w:rFonts w:hint="eastAsia" w:ascii="宋体" w:hAnsi="宋体" w:cs="宋体"/>
                <w:szCs w:val="21"/>
              </w:rPr>
              <w:t xml:space="preserve">格式见《投标文件格式》</w:t>
            </w:r>
            <w:r/>
          </w:p>
        </w:tc>
      </w:tr>
    </w:tbl>
    <w:p>
      <w:pPr>
        <w:pStyle w:val="729"/>
        <w:jc w:val="left"/>
        <w:widowControl/>
        <w:rPr>
          <w:sz w:val="24"/>
        </w:rPr>
      </w:pPr>
      <w:r/>
      <w:bookmarkEnd w:id="233"/>
      <w:r/>
      <w:bookmarkStart w:id="236" w:name="_Toc127161490"/>
      <w:r/>
      <w:bookmarkStart w:id="237" w:name="_Toc127151779"/>
      <w:r/>
      <w:bookmarkStart w:id="238" w:name="_Toc353825550"/>
      <w:r/>
      <w:bookmarkStart w:id="239" w:name="_Toc226965858"/>
      <w:r/>
      <w:bookmarkStart w:id="240" w:name="_Toc353873940"/>
      <w:r>
        <w:rPr>
          <w:sz w:val="24"/>
        </w:rPr>
        <w:br w:type="page" w:clear="all"/>
      </w:r>
      <w:r/>
    </w:p>
    <w:p>
      <w:pPr>
        <w:pStyle w:val="729"/>
        <w:jc w:val="center"/>
        <w:spacing w:line="360" w:lineRule="auto"/>
        <w:rPr>
          <w:b/>
          <w:sz w:val="36"/>
          <w:szCs w:val="36"/>
        </w:rPr>
        <w:outlineLvl w:val="0"/>
      </w:pPr>
      <w:r/>
      <w:bookmarkStart w:id="241" w:name="_Toc99301423"/>
      <w:r>
        <w:rPr>
          <w:b/>
          <w:sz w:val="36"/>
          <w:szCs w:val="36"/>
        </w:rPr>
        <w:t xml:space="preserve">第四章   </w:t>
      </w:r>
      <w:bookmarkEnd w:id="236"/>
      <w:r/>
      <w:bookmarkEnd w:id="237"/>
      <w:r/>
      <w:bookmarkEnd w:id="238"/>
      <w:r/>
      <w:bookmarkEnd w:id="239"/>
      <w:r/>
      <w:bookmarkEnd w:id="240"/>
      <w:r/>
      <w:bookmarkStart w:id="242" w:name="_Hlt164229061"/>
      <w:r/>
      <w:bookmarkEnd w:id="242"/>
      <w:r>
        <w:rPr>
          <w:b/>
          <w:sz w:val="36"/>
          <w:szCs w:val="36"/>
        </w:rPr>
        <w:t xml:space="preserve">评标程序、评标方法和评标标准</w:t>
      </w:r>
      <w:bookmarkEnd w:id="241"/>
      <w:r>
        <w:rPr>
          <w:b/>
          <w:sz w:val="36"/>
          <w:szCs w:val="36"/>
        </w:rPr>
      </w:r>
      <w:r/>
    </w:p>
    <w:p>
      <w:pPr>
        <w:pStyle w:val="729"/>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29"/>
        <w:ind w:firstLine="480"/>
        <w:spacing w:line="360" w:lineRule="auto"/>
        <w:tabs>
          <w:tab w:val="left" w:pos="360" w:leader="none"/>
        </w:tabs>
        <w:rPr>
          <w:sz w:val="24"/>
        </w:rPr>
        <w:outlineLvl w:val="1"/>
      </w:pPr>
      <w:r/>
      <w:bookmarkStart w:id="243" w:name="_Toc353873941"/>
      <w:r/>
      <w:bookmarkStart w:id="244" w:name="_Toc353825551"/>
      <w:r>
        <w:rPr>
          <w:rFonts w:ascii="Symbol" w:hAnsi="Symbol" w:cs="Symbol"/>
          <w:color w:val="000000"/>
          <w:sz w:val="24"/>
        </w:rPr>
        <w:t xml:space="preserve">一、</w:t>
      </w:r>
      <w:r>
        <w:rPr>
          <w:sz w:val="24"/>
        </w:rPr>
        <w:t xml:space="preserve">评标委员会对资格审查合格的投标人的投标文件进行符合性审查，以确定其是否满足招标文件的实质性要求。</w:t>
      </w:r>
      <w:bookmarkStart w:id="245" w:name="_Toc520356167"/>
      <w:r>
        <w:rPr>
          <w:sz w:val="24"/>
        </w:rPr>
      </w:r>
      <w:r/>
    </w:p>
    <w:p>
      <w:pPr>
        <w:pStyle w:val="729"/>
        <w:ind w:firstLine="480"/>
        <w:spacing w:line="360" w:lineRule="auto"/>
        <w:tabs>
          <w:tab w:val="left" w:pos="1080" w:leader="none"/>
        </w:tabs>
        <w:rPr>
          <w:sz w:val="24"/>
        </w:rPr>
      </w:pPr>
      <w:r>
        <w:rPr>
          <w:rFonts w:ascii="Symbol" w:hAnsi="Symbol" w:cs="Symbol"/>
          <w:color w:val="000000"/>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45"/>
      <w:r>
        <w:rPr>
          <w:rFonts w:hint="eastAsia"/>
          <w:sz w:val="24"/>
        </w:rPr>
        <w:t xml:space="preserve">的，投标无效。</w:t>
      </w:r>
      <w:r>
        <w:rPr>
          <w:sz w:val="24"/>
        </w:rPr>
      </w:r>
      <w:r/>
    </w:p>
    <w:p>
      <w:pPr>
        <w:pStyle w:val="807"/>
      </w:pPr>
      <w:r/>
      <w:r/>
    </w:p>
    <w:p>
      <w:pPr>
        <w:pStyle w:val="729"/>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807"/>
        <w:ind w:firstLine="602"/>
        <w:rPr>
          <w:rFonts w:hint="eastAsia" w:ascii="宋体" w:hAnsi="宋体" w:cs="宋体"/>
        </w:rPr>
      </w:pPr>
      <w:r>
        <w:rPr>
          <w:b/>
          <w:sz w:val="30"/>
          <w:szCs w:val="30"/>
        </w:rPr>
        <w:t xml:space="preserve">一、符合性审查要求</w:t>
      </w:r>
      <w:r>
        <w:rPr>
          <w:rFonts w:hint="eastAsia" w:ascii="宋体" w:hAnsi="宋体" w:cs="宋体"/>
        </w:rPr>
      </w:r>
      <w:r/>
    </w:p>
    <w:tbl>
      <w:tblPr>
        <w:tblW w:w="5095"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838"/>
        <w:gridCol w:w="5356"/>
        <w:gridCol w:w="1924"/>
      </w:tblGrid>
      <w:tr>
        <w:trPr>
          <w:trHeight w:val="357"/>
        </w:trPr>
        <w:tc>
          <w:tcPr>
            <w:tcW w:w="460" w:type="pct"/>
            <w:vAlign w:val="center"/>
            <w:textDirection w:val="lrTb"/>
            <w:noWrap w:val="false"/>
          </w:tcPr>
          <w:p>
            <w:pPr>
              <w:pStyle w:val="729"/>
              <w:jc w:val="center"/>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15" w:type="pct"/>
            <w:vAlign w:val="center"/>
            <w:textDirection w:val="lrTb"/>
            <w:noWrap w:val="false"/>
          </w:tcPr>
          <w:p>
            <w:pPr>
              <w:pStyle w:val="729"/>
              <w:jc w:val="center"/>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2667" w:type="pct"/>
            <w:vAlign w:val="center"/>
            <w:textDirection w:val="lrTb"/>
            <w:noWrap w:val="false"/>
          </w:tcPr>
          <w:p>
            <w:pPr>
              <w:pStyle w:val="729"/>
              <w:jc w:val="center"/>
              <w:widowControl/>
              <w:rPr>
                <w:rFonts w:hint="eastAsia" w:ascii="宋体" w:hAnsi="宋体" w:cs="宋体"/>
                <w:b/>
                <w:color w:val="000000"/>
                <w:sz w:val="24"/>
              </w:rPr>
            </w:pPr>
            <w:r>
              <w:rPr>
                <w:rFonts w:hint="eastAsia" w:ascii="宋体" w:hAnsi="宋体" w:cs="宋体"/>
                <w:b/>
                <w:color w:val="000000"/>
                <w:sz w:val="24"/>
              </w:rPr>
              <w:t xml:space="preserve">审查内容</w:t>
            </w:r>
            <w:r/>
          </w:p>
        </w:tc>
        <w:tc>
          <w:tcPr>
            <w:tcW w:w="958" w:type="pct"/>
            <w:vAlign w:val="center"/>
            <w:textDirection w:val="lrTb"/>
            <w:noWrap w:val="false"/>
          </w:tcPr>
          <w:p>
            <w:pPr>
              <w:pStyle w:val="729"/>
              <w:jc w:val="center"/>
              <w:widowControl/>
              <w:rPr>
                <w:rFonts w:hint="eastAsia" w:ascii="宋体" w:hAnsi="宋体" w:cs="宋体"/>
                <w:b/>
                <w:color w:val="000000"/>
                <w:sz w:val="24"/>
              </w:rPr>
            </w:pPr>
            <w:r>
              <w:rPr>
                <w:rFonts w:hint="eastAsia" w:ascii="宋体" w:hAnsi="宋体" w:cs="宋体"/>
                <w:b/>
                <w:color w:val="000000"/>
                <w:sz w:val="24"/>
              </w:rPr>
              <w:t xml:space="preserve">格式要求</w:t>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color w:val="000000"/>
                <w:sz w:val="24"/>
              </w:rPr>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投标函</w:t>
            </w:r>
            <w:r>
              <w:rPr>
                <w:rFonts w:hint="eastAsia" w:ascii="宋体" w:hAnsi="宋体" w:cs="宋体"/>
                <w:sz w:val="24"/>
              </w:rPr>
              <w:t xml:space="preserve">；</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sz w:val="24"/>
              </w:rPr>
              <w:t xml:space="preserve">格式见《投标文件格式》</w:t>
            </w:r>
            <w:r>
              <w:rPr>
                <w:rFonts w:hint="eastAsia" w:ascii="宋体" w:hAnsi="宋体" w:cs="宋体"/>
                <w:color w:val="000000"/>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投标完整性</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sz w:val="24"/>
              </w:rPr>
              <w:t xml:space="preserve">报价明细表未有缺项、漏项；</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sz w:val="24"/>
              </w:rPr>
            </w:pPr>
            <w:r>
              <w:rPr>
                <w:rFonts w:hint="eastAsia" w:ascii="宋体" w:hAnsi="宋体" w:cs="宋体"/>
                <w:sz w:val="24"/>
              </w:rPr>
              <w:t xml:space="preserve">格式见《报价明细表》</w:t>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投标报价</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sz w:val="24"/>
              </w:rPr>
              <w:t xml:space="preserve">投标报价未超过最高限价（总价最高限价及单价最高限价）或预算价的；</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color w:val="000000"/>
                <w:sz w:val="24"/>
              </w:rPr>
              <w:t xml:space="preserve">；</w:t>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投标有效期</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357"/>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按照招标文件要求签署、加盖公章的；</w:t>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42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sz w:val="24"/>
              </w:rPr>
              <w:t xml:space="preserve">标记为“实质性格式”的文件均按招标文件要求提供；</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sz w:val="24"/>
              </w:rPr>
            </w:pPr>
            <w:r>
              <w:rPr>
                <w:rFonts w:hint="eastAsia" w:ascii="宋体" w:hAnsi="宋体" w:cs="宋体"/>
                <w:sz w:val="24"/>
              </w:rPr>
            </w:r>
            <w:r/>
          </w:p>
        </w:tc>
      </w:tr>
      <w:tr>
        <w:trPr>
          <w:trHeight w:val="721"/>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W w:w="915" w:type="pct"/>
            <w:vAlign w:val="center"/>
            <w:textDirection w:val="lrTb"/>
            <w:noWrap w:val="false"/>
          </w:tcPr>
          <w:p>
            <w:pPr>
              <w:pStyle w:val="729"/>
              <w:jc w:val="left"/>
              <w:widowControl/>
              <w:rPr>
                <w:rFonts w:hint="eastAsia" w:ascii="宋体" w:hAnsi="宋体" w:cs="宋体"/>
                <w:color w:val="000000"/>
                <w:sz w:val="24"/>
              </w:rPr>
            </w:pPr>
            <w:r/>
            <w:bookmarkStart w:id="246" w:name="_Hlk177947776"/>
            <w:r>
              <w:rPr>
                <w:rFonts w:hint="eastAsia" w:ascii="宋体" w:hAnsi="宋体" w:cs="宋体"/>
                <w:color w:val="000000"/>
                <w:sz w:val="24"/>
              </w:rPr>
              <w:t xml:space="preserve">★</w:t>
            </w:r>
            <w:bookmarkEnd w:id="246"/>
            <w:r>
              <w:rPr>
                <w:rFonts w:hint="eastAsia" w:ascii="宋体" w:hAnsi="宋体" w:cs="宋体"/>
                <w:color w:val="000000"/>
                <w:sz w:val="24"/>
              </w:rPr>
              <w:t xml:space="preserve">号条款响应</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投标文件满足</w:t>
            </w:r>
            <w:r>
              <w:rPr>
                <w:rFonts w:hint="eastAsia" w:ascii="宋体" w:hAnsi="宋体" w:cs="宋体"/>
                <w:color w:val="000000"/>
                <w:sz w:val="24"/>
              </w:rPr>
              <w:t xml:space="preserve">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sz w:val="24"/>
              </w:rPr>
            </w:pPr>
            <w:r>
              <w:rPr>
                <w:rFonts w:hint="eastAsia" w:ascii="宋体" w:hAnsi="宋体" w:cs="宋体"/>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分包意向协议（如有）</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1395"/>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报价合理性</w:t>
            </w:r>
            <w:r/>
          </w:p>
        </w:tc>
        <w:tc>
          <w:tcPr>
            <w:tcW w:w="2667" w:type="pct"/>
            <w:vAlign w:val="center"/>
            <w:textDirection w:val="lrTb"/>
            <w:noWrap w:val="false"/>
          </w:tcPr>
          <w:p>
            <w:pPr>
              <w:pStyle w:val="729"/>
              <w:ind w:firstLine="480"/>
              <w:jc w:val="left"/>
              <w:widowControl/>
              <w:rPr>
                <w:sz w:val="24"/>
              </w:rPr>
            </w:pPr>
            <w:r>
              <w:rPr>
                <w:rFonts w:hint="eastAsia"/>
                <w:sz w:val="24"/>
              </w:rPr>
              <w:t xml:space="preserve">根据江苏省财政厅《关于推动解决政府采购异常低价问题相关工作的通知》苏财购【2025】62号文件之规定：当评审</w:t>
            </w:r>
            <w:r>
              <w:rPr>
                <w:rFonts w:hint="eastAsia"/>
                <w:sz w:val="24"/>
              </w:rPr>
              <w:t xml:space="preserve">过程中出现下列情形之一的，评审委员会应当启动异常低价投标（响应）审查程序： </w:t>
            </w:r>
            <w:r>
              <w:rPr>
                <w:sz w:val="24"/>
              </w:rPr>
            </w:r>
            <w:r/>
          </w:p>
          <w:p>
            <w:pPr>
              <w:pStyle w:val="729"/>
              <w:jc w:val="left"/>
              <w:widowControl/>
              <w:rPr>
                <w:sz w:val="24"/>
              </w:rPr>
            </w:pPr>
            <w:r>
              <w:rPr>
                <w:rFonts w:hint="eastAsia"/>
                <w:sz w:val="24"/>
              </w:rPr>
              <w:t xml:space="preserve">1、投标（响应）报价低于采购项目预算50%的，即投标（响应）报价&lt;采购项目预算×50%；</w:t>
            </w:r>
            <w:r>
              <w:rPr>
                <w:sz w:val="24"/>
              </w:rPr>
            </w:r>
            <w:r/>
          </w:p>
          <w:p>
            <w:pPr>
              <w:pStyle w:val="729"/>
              <w:jc w:val="left"/>
              <w:widowControl/>
              <w:rPr>
                <w:sz w:val="24"/>
              </w:rPr>
            </w:pPr>
            <w:r>
              <w:rPr>
                <w:rFonts w:hint="eastAsia"/>
                <w:sz w:val="24"/>
              </w:rPr>
              <w:t xml:space="preserve">2、投标（响应）报价低于采购项目最高限价45%的，即投标（响应）报价&lt;采购项目最高限价×45%；</w:t>
            </w:r>
            <w:r>
              <w:rPr>
                <w:sz w:val="24"/>
              </w:rPr>
            </w:r>
            <w:r/>
          </w:p>
          <w:p>
            <w:pPr>
              <w:pStyle w:val="729"/>
              <w:jc w:val="left"/>
              <w:widowControl/>
              <w:rPr>
                <w:sz w:val="24"/>
              </w:rPr>
            </w:pPr>
            <w:r>
              <w:rPr>
                <w:rFonts w:hint="eastAsia"/>
                <w:sz w:val="24"/>
              </w:rPr>
              <w:t xml:space="preserve">3、评审委员会认定的供应商报价过低、有可能影响产品质 量或者不能诚信履约的其他情形。</w:t>
            </w:r>
            <w:r>
              <w:rPr>
                <w:sz w:val="24"/>
              </w:rPr>
            </w:r>
            <w:r/>
          </w:p>
          <w:p>
            <w:pPr>
              <w:pStyle w:val="729"/>
              <w:jc w:val="left"/>
              <w:widowControl/>
              <w:rPr>
                <w:rFonts w:hint="eastAsia" w:ascii="宋体" w:hAnsi="宋体" w:cs="宋体"/>
                <w:color w:val="000000"/>
                <w:sz w:val="24"/>
              </w:rPr>
            </w:pPr>
            <w:r>
              <w:rPr>
                <w:rFonts w:hint="eastAsia"/>
                <w:sz w:val="24"/>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w:t>
            </w:r>
            <w:r>
              <w:rPr>
                <w:rFonts w:hint="eastAsia"/>
                <w:sz w:val="24"/>
              </w:rPr>
              <w:t xml:space="preserve">书面说明、证明 材料，或者提供的书面说明、证明材料不能证明其报价合理性的，评审委员会应当将其作为无效投标（响应）处理。审查相关情况 应当在评审报告中进行记录。</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70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进口产品</w:t>
            </w:r>
            <w:r/>
          </w:p>
          <w:p>
            <w:pPr>
              <w:pStyle w:val="729"/>
              <w:jc w:val="left"/>
              <w:widowControl/>
              <w:rPr>
                <w:rFonts w:hint="eastAsia" w:ascii="宋体" w:hAnsi="宋体" w:cs="宋体"/>
                <w:color w:val="000000"/>
                <w:sz w:val="24"/>
              </w:rPr>
            </w:pPr>
            <w:r>
              <w:rPr>
                <w:rFonts w:hint="eastAsia" w:ascii="宋体" w:hAnsi="宋体" w:cs="宋体"/>
                <w:color w:val="000000"/>
                <w:sz w:val="24"/>
              </w:rPr>
              <w:t xml:space="preserve">（如有）</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sz w:val="24"/>
              </w:rPr>
              <w:t xml:space="preserve">招标文件不接受进口产品投标的内容时，投标人所投产品为非进口产品；</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sz w:val="24"/>
              </w:rPr>
            </w:pPr>
            <w:r>
              <w:rPr>
                <w:rFonts w:hint="eastAsia" w:ascii="宋体" w:hAnsi="宋体" w:cs="宋体"/>
                <w:sz w:val="24"/>
              </w:rPr>
            </w:r>
            <w:r/>
          </w:p>
        </w:tc>
      </w:tr>
      <w:tr>
        <w:trPr>
          <w:trHeight w:val="4762"/>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国家有关部门对投标人的投标产品有强</w:t>
            </w:r>
            <w:r>
              <w:rPr>
                <w:rFonts w:hint="eastAsia" w:ascii="宋体" w:hAnsi="宋体" w:cs="宋体"/>
                <w:color w:val="000000"/>
                <w:sz w:val="24"/>
              </w:rPr>
              <w:t xml:space="preserve">制性规定或要求的（如相应技术、安全、节能和环保等），投标人的投标产品应符合相应规定或要求，并提供证明文件电子件：</w:t>
            </w:r>
            <w:r/>
          </w:p>
          <w:p>
            <w:pPr>
              <w:pStyle w:val="729"/>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729"/>
              <w:jc w:val="left"/>
              <w:widowControl/>
              <w:rPr>
                <w:rFonts w:hint="eastAsia" w:ascii="宋体" w:hAnsi="宋体" w:cs="宋体"/>
                <w:color w:val="000000"/>
                <w:sz w:val="24"/>
              </w:rPr>
            </w:pPr>
            <w:r>
              <w:rPr>
                <w:rFonts w:hint="eastAsia" w:ascii="宋体" w:hAnsi="宋体" w:cs="宋体"/>
                <w:color w:val="000000"/>
                <w:sz w:val="24"/>
              </w:rPr>
              <w:t xml:space="preserve">2）投标产品如有属于开展国家信息安全产品认证产品范围的，须提供由中国网络安全审查技术与认证中心（原中国信息安全认证中心）按国家标准认证颁发的有效认证证书等）；</w:t>
            </w:r>
            <w:r/>
          </w:p>
          <w:p>
            <w:pPr>
              <w:pStyle w:val="729"/>
              <w:jc w:val="left"/>
              <w:widowControl/>
              <w:rPr>
                <w:rFonts w:hint="eastAsia" w:ascii="宋体" w:hAnsi="宋体" w:cs="宋体"/>
                <w:color w:val="000000"/>
                <w:sz w:val="24"/>
              </w:rPr>
            </w:pPr>
            <w:r>
              <w:rPr>
                <w:rFonts w:hint="eastAsia" w:ascii="宋体" w:hAnsi="宋体" w:cs="宋体"/>
                <w:sz w:val="24"/>
              </w:rPr>
              <w:t xml:space="preserve">3）国家有特殊信息安全要求的项目，采购产品涉及无线局域网产品和含有无线局域网功能的计算机、通信设备、打印机、复印机、投影仪等产品的，投标产品须为符合国家无线局域</w:t>
            </w:r>
            <w:r>
              <w:rPr>
                <w:rFonts w:hint="eastAsia" w:ascii="宋体" w:hAnsi="宋体" w:cs="宋体"/>
                <w:sz w:val="24"/>
              </w:rPr>
              <w:t xml:space="preserve">网安全标准（GB 15629.11/1102）并通过国家产品认证的产品；</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sz w:val="24"/>
              </w:rPr>
            </w:pPr>
            <w:r>
              <w:rPr>
                <w:rFonts w:hint="eastAsia" w:ascii="宋体" w:hAnsi="宋体" w:cs="宋体"/>
                <w:sz w:val="24"/>
              </w:rPr>
            </w:r>
            <w:r/>
          </w:p>
        </w:tc>
      </w:tr>
      <w:tr>
        <w:trPr>
          <w:trHeight w:val="1048"/>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3081"/>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串通投标</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；（二）不同投标人委托同一</w:t>
            </w:r>
            <w:r>
              <w:rPr>
                <w:rFonts w:hint="eastAsia" w:ascii="宋体" w:hAnsi="宋体" w:cs="宋体"/>
                <w:color w:val="000000"/>
                <w:sz w:val="24"/>
              </w:rPr>
              <w:t xml:space="preserve">单位或者个人办理投标事宜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377"/>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投标文件未含有采购人不能接受的附加条件的；</w:t>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r>
        <w:trPr>
          <w:trHeight w:val="584"/>
        </w:trPr>
        <w:tc>
          <w:tcPr>
            <w:tcW w:w="460" w:type="pct"/>
            <w:vAlign w:val="center"/>
            <w:textDirection w:val="lrTb"/>
            <w:noWrap w:val="false"/>
          </w:tcPr>
          <w:p>
            <w:pPr>
              <w:pStyle w:val="729"/>
              <w:jc w:val="center"/>
              <w:widowControl/>
              <w:rPr>
                <w:rFonts w:hint="eastAsia" w:ascii="宋体" w:hAnsi="宋体" w:cs="宋体"/>
                <w:color w:val="000000"/>
                <w:sz w:val="24"/>
              </w:rPr>
            </w:pPr>
            <w:r>
              <w:rPr>
                <w:rFonts w:hint="eastAsia" w:ascii="宋体" w:hAnsi="宋体" w:cs="宋体"/>
                <w:color w:val="000000"/>
                <w:sz w:val="24"/>
              </w:rPr>
              <w:t xml:space="preserve">18</w:t>
            </w:r>
            <w:r/>
          </w:p>
        </w:tc>
        <w:tc>
          <w:tcPr>
            <w:tcW w:w="915"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2667"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rPr>
                <w:rFonts w:hint="eastAsia" w:ascii="宋体" w:hAnsi="宋体" w:cs="宋体"/>
                <w:color w:val="000000"/>
                <w:sz w:val="24"/>
              </w:rPr>
            </w:r>
            <w:r/>
          </w:p>
        </w:tc>
        <w:tc>
          <w:tcPr>
            <w:tcW w:w="958" w:type="pct"/>
            <w:vAlign w:val="center"/>
            <w:textDirection w:val="lrTb"/>
            <w:noWrap w:val="false"/>
          </w:tcPr>
          <w:p>
            <w:pPr>
              <w:pStyle w:val="729"/>
              <w:jc w:val="left"/>
              <w:widowControl/>
              <w:rPr>
                <w:rFonts w:hint="eastAsia" w:ascii="宋体" w:hAnsi="宋体" w:cs="宋体"/>
                <w:color w:val="000000"/>
                <w:sz w:val="24"/>
              </w:rPr>
            </w:pPr>
            <w:r>
              <w:rPr>
                <w:rFonts w:hint="eastAsia" w:ascii="宋体" w:hAnsi="宋体" w:cs="宋体"/>
                <w:color w:val="000000"/>
                <w:sz w:val="24"/>
              </w:rPr>
            </w:r>
            <w:r/>
          </w:p>
        </w:tc>
      </w:tr>
    </w:tbl>
    <w:p>
      <w:pPr>
        <w:pStyle w:val="729"/>
        <w:ind w:firstLine="602"/>
        <w:jc w:val="left"/>
        <w:spacing w:line="360" w:lineRule="auto"/>
        <w:tabs>
          <w:tab w:val="left" w:pos="360" w:leader="none"/>
        </w:tabs>
        <w:rPr>
          <w:rFonts w:hint="eastAsia"/>
          <w:b/>
          <w:sz w:val="30"/>
          <w:szCs w:val="30"/>
        </w:rPr>
        <w:outlineLvl w:val="1"/>
      </w:pPr>
      <w:r>
        <w:rPr>
          <w:rFonts w:hint="eastAsia"/>
          <w:b/>
          <w:sz w:val="30"/>
          <w:szCs w:val="30"/>
        </w:rPr>
      </w:r>
      <w:r/>
    </w:p>
    <w:p>
      <w:pPr>
        <w:pStyle w:val="729"/>
        <w:ind w:firstLine="602"/>
        <w:jc w:val="left"/>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729"/>
        <w:ind w:firstLine="480"/>
        <w:spacing w:line="360" w:lineRule="auto"/>
        <w:tabs>
          <w:tab w:val="left" w:pos="1080" w:leader="none"/>
          <w:tab w:val="left" w:pos="1589" w:leader="none"/>
        </w:tabs>
        <w:rPr>
          <w:rFonts w:hint="eastAsia"/>
          <w:sz w:val="24"/>
        </w:rPr>
      </w:pPr>
      <w:r>
        <w:rPr>
          <w:rFonts w:ascii="Symbol" w:hAnsi="Symbol" w:cs="Symbol"/>
          <w:color w:val="000000"/>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w:t>
      </w:r>
      <w:r>
        <w:rPr>
          <w:sz w:val="24"/>
        </w:rPr>
        <w:t xml:space="preserve">关证明材料；若投标人不能证明其报价合理性，评标委员会将其作为</w:t>
      </w:r>
      <w:r>
        <w:rPr>
          <w:b/>
          <w:sz w:val="24"/>
        </w:rPr>
        <w:t xml:space="preserve">无效投标处理</w:t>
      </w:r>
      <w:r>
        <w:rPr>
          <w:rFonts w:hint="eastAsia"/>
          <w:sz w:val="24"/>
        </w:rPr>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pStyle w:val="729"/>
        <w:ind w:firstLine="480"/>
        <w:spacing w:line="360" w:lineRule="auto"/>
        <w:tabs>
          <w:tab w:val="left" w:pos="1080" w:leader="none"/>
          <w:tab w:val="left" w:pos="1589" w:leader="none"/>
        </w:tabs>
        <w:rPr>
          <w:color w:val="000000"/>
          <w:sz w:val="24"/>
        </w:rPr>
      </w:pPr>
      <w:r>
        <w:rPr>
          <w:rFonts w:ascii="Symbol" w:hAnsi="Symbol" w:cs="Symbol"/>
          <w:color w:val="000000"/>
          <w:sz w:val="24"/>
        </w:rPr>
        <w:t xml:space="preserve">（五）</w:t>
      </w:r>
      <w:r>
        <w:rPr>
          <w:sz w:val="24"/>
        </w:rPr>
        <w:t xml:space="preserve">落实政府采购政策的价格调整：</w:t>
      </w:r>
      <w:bookmarkStart w:id="247" w:name="_Hlk149904856"/>
      <w:r>
        <w:rPr>
          <w:rFonts w:hint="eastAsia"/>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29"/>
        <w:ind w:firstLine="602"/>
        <w:spacing w:line="360" w:lineRule="auto"/>
        <w:tabs>
          <w:tab w:val="left" w:pos="360" w:leader="none"/>
        </w:tabs>
        <w:rPr>
          <w:b/>
          <w:sz w:val="30"/>
          <w:szCs w:val="30"/>
        </w:rPr>
        <w:outlineLvl w:val="1"/>
      </w:pPr>
      <w:r/>
      <w:bookmarkEnd w:id="247"/>
      <w:r>
        <w:rPr>
          <w:rFonts w:hint="eastAsia"/>
          <w:b/>
          <w:sz w:val="30"/>
          <w:szCs w:val="30"/>
        </w:rPr>
        <w:t xml:space="preserve">三、</w:t>
      </w:r>
      <w:r>
        <w:rPr>
          <w:b/>
          <w:sz w:val="30"/>
          <w:szCs w:val="30"/>
        </w:rPr>
        <w:t xml:space="preserve">投标文件的比较和评价</w:t>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（二）</w:t>
      </w:r>
      <w:r>
        <w:rPr>
          <w:sz w:val="24"/>
        </w:rPr>
        <w:t xml:space="preserve">评标方法和评标标准</w:t>
      </w:r>
      <w:r/>
    </w:p>
    <w:p>
      <w:pPr>
        <w:pStyle w:val="729"/>
        <w:ind w:firstLine="480"/>
        <w:jc w:val="left"/>
        <w:spacing w:line="360" w:lineRule="auto"/>
        <w:widowControl/>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729"/>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48" w:name="_Toc151193934"/>
      <w:r/>
      <w:bookmarkStart w:id="249" w:name="_Toc164351640"/>
      <w:r/>
      <w:bookmarkStart w:id="250" w:name="_Toc195842911"/>
      <w:r/>
      <w:bookmarkStart w:id="251" w:name="_Toc265228384"/>
      <w:r/>
      <w:bookmarkStart w:id="252" w:name="_Toc226965736"/>
      <w:r/>
      <w:bookmarkStart w:id="253" w:name="_Toc151190173"/>
      <w:r/>
      <w:bookmarkStart w:id="254" w:name="_Toc151193788"/>
      <w:r/>
      <w:bookmarkStart w:id="255" w:name="_Toc127161460"/>
      <w:r/>
      <w:bookmarkStart w:id="256" w:name="_Ref467307010"/>
      <w:r/>
      <w:bookmarkStart w:id="257" w:name="_Toc164608815"/>
      <w:r/>
      <w:bookmarkStart w:id="258" w:name="_Toc150509297"/>
      <w:r/>
      <w:bookmarkStart w:id="259" w:name="_Toc520356170"/>
      <w:r/>
      <w:bookmarkStart w:id="260" w:name="_Toc127151747"/>
      <w:r/>
      <w:bookmarkStart w:id="261" w:name="_Toc226965819"/>
      <w:r/>
      <w:bookmarkStart w:id="262" w:name="_Toc151193860"/>
      <w:r/>
      <w:bookmarkStart w:id="263" w:name="_Toc305158888"/>
      <w:r/>
      <w:bookmarkStart w:id="264" w:name="_Toc149720839"/>
      <w:r/>
      <w:bookmarkStart w:id="265" w:name="_Toc150774646"/>
      <w:r/>
      <w:bookmarkStart w:id="266" w:name="_Toc151193716"/>
      <w:r/>
      <w:bookmarkStart w:id="267" w:name="_Toc305158814"/>
      <w:r/>
      <w:bookmarkStart w:id="268" w:name="_Toc150480784"/>
      <w:r/>
      <w:bookmarkStart w:id="269" w:name="_Toc164229387"/>
      <w:r/>
      <w:bookmarkStart w:id="270" w:name="_Toc164229241"/>
      <w:r/>
      <w:bookmarkStart w:id="271" w:name="_Toc142311048"/>
      <w:r/>
      <w:bookmarkStart w:id="272" w:name="_Toc150774751"/>
      <w:r/>
      <w:bookmarkStart w:id="273" w:name="_Toc226337242"/>
      <w:r/>
      <w:bookmarkStart w:id="274" w:name="_Toc226309790"/>
      <w:r/>
      <w:bookmarkStart w:id="275" w:name="_Toc164608660"/>
      <w:r/>
      <w:bookmarkStart w:id="276" w:name="_Toc151193644"/>
      <w:r/>
      <w:bookmarkStart w:id="277" w:name="_Toc264969236"/>
      <w:r/>
      <w:bookmarkStart w:id="278" w:name="_Toc127151546"/>
      <w:r>
        <w:rPr>
          <w:b/>
          <w:sz w:val="30"/>
          <w:szCs w:val="30"/>
        </w:rPr>
        <w:t xml:space="preserve">中标候选人名单</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b/>
          <w:sz w:val="30"/>
          <w:szCs w:val="30"/>
        </w:rPr>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（一）</w:t>
      </w:r>
      <w:r>
        <w:rPr>
          <w:sz w:val="24"/>
        </w:rPr>
        <w:t xml:space="preserve">评标委员会对评分汇总情况进行复核，对</w:t>
      </w:r>
      <w:r>
        <w:rPr>
          <w:rFonts w:hint="eastAsia"/>
          <w:sz w:val="24"/>
        </w:rPr>
        <w:t xml:space="preserve">各标段或采购包</w:t>
      </w:r>
      <w:r>
        <w:rPr>
          <w:sz w:val="24"/>
        </w:rPr>
        <w:t xml:space="preserve">排名第一的、报价最低的、投标或</w:t>
      </w:r>
      <w:r>
        <w:rPr>
          <w:rFonts w:hint="eastAsia"/>
          <w:sz w:val="24"/>
        </w:rPr>
        <w:t xml:space="preserve">响应</w:t>
      </w:r>
      <w:r>
        <w:rPr>
          <w:sz w:val="24"/>
        </w:rPr>
        <w:t xml:space="preserve">文件被认定为无效的情形进行重点复核。</w:t>
      </w:r>
      <w:r/>
    </w:p>
    <w:p>
      <w:pPr>
        <w:pStyle w:val="729"/>
        <w:ind w:firstLine="480"/>
        <w:spacing w:line="360" w:lineRule="auto"/>
        <w:tabs>
          <w:tab w:val="left" w:pos="1080" w:leader="none"/>
          <w:tab w:val="left" w:pos="1589" w:leader="none"/>
        </w:tabs>
        <w:rPr>
          <w:sz w:val="24"/>
        </w:rPr>
      </w:pPr>
      <w:r>
        <w:rPr>
          <w:rFonts w:ascii="Symbol" w:hAnsi="Symbol" w:cs="Symbol"/>
          <w:color w:val="000000"/>
          <w:sz w:val="24"/>
        </w:rPr>
        <w:t xml:space="preserve">（二）</w:t>
      </w:r>
      <w:r>
        <w:rPr>
          <w:sz w:val="24"/>
        </w:rPr>
        <w:t xml:space="preserve">评标委员会将根据各投标人的评标排序</w:t>
      </w:r>
      <w:r>
        <w:rPr>
          <w:sz w:val="24"/>
        </w:rPr>
        <w:t xml:space="preserve">，依次推荐本项目（</w:t>
      </w:r>
      <w:r>
        <w:rPr>
          <w:rFonts w:hint="eastAsia"/>
          <w:sz w:val="24"/>
        </w:rPr>
        <w:t xml:space="preserve">各</w:t>
      </w:r>
      <w:r>
        <w:rPr>
          <w:sz w:val="24"/>
        </w:rPr>
        <w:t xml:space="preserve">采购包）的中标候选人，起草并签署评标报告。本项目</w:t>
      </w:r>
      <w:bookmarkStart w:id="279" w:name="_Hlk155186819"/>
      <w:r>
        <w:rPr>
          <w:sz w:val="24"/>
        </w:rPr>
        <w:t xml:space="preserve">（</w:t>
      </w:r>
      <w:r>
        <w:rPr>
          <w:rFonts w:hint="eastAsia"/>
          <w:sz w:val="24"/>
        </w:rPr>
        <w:t xml:space="preserve">各标段或</w:t>
      </w:r>
      <w:r>
        <w:rPr>
          <w:sz w:val="24"/>
        </w:rPr>
        <w:t xml:space="preserve">采购包）</w:t>
      </w:r>
      <w:bookmarkEnd w:id="279"/>
      <w:r>
        <w:rPr>
          <w:sz w:val="24"/>
        </w:rPr>
        <w:t xml:space="preserve">评标委员会共（各）推荐</w:t>
      </w:r>
      <w:r>
        <w:rPr>
          <w:rFonts w:hint="eastAsia"/>
          <w:sz w:val="24"/>
        </w:rPr>
        <w:t xml:space="preserve">不少于3</w:t>
      </w:r>
      <w:r>
        <w:rPr>
          <w:sz w:val="24"/>
        </w:rPr>
        <w:t xml:space="preserve">名中标候选人。</w:t>
      </w:r>
      <w:r/>
    </w:p>
    <w:p>
      <w:pPr>
        <w:pStyle w:val="729"/>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729"/>
        <w:ind w:firstLine="480"/>
        <w:spacing w:line="360" w:lineRule="auto"/>
        <w:tabs>
          <w:tab w:val="left" w:pos="1080" w:leader="none"/>
          <w:tab w:val="left" w:pos="1589" w:leader="none"/>
        </w:tabs>
        <w:rPr>
          <w:rFonts w:hint="eastAsia"/>
          <w:sz w:val="24"/>
        </w:rPr>
      </w:pPr>
      <w:r>
        <w:rPr>
          <w:rFonts w:ascii="Symbol" w:hAnsi="Symbol" w:cs="Symbol"/>
          <w:color w:val="000000"/>
          <w:sz w:val="24"/>
        </w:rPr>
        <w:t xml:space="preserve">（一）</w:t>
      </w:r>
      <w:r>
        <w:rPr>
          <w:sz w:val="24"/>
        </w:rPr>
        <w:t xml:space="preserve">评标委员会在评标过程中发现投标人有行贿、提供虚假材料或者串通等违法行为时，有向采购人、采购代理机构或者有关部门报告的职责。</w:t>
      </w:r>
      <w:r>
        <w:rPr>
          <w:rFonts w:hint="eastAsia"/>
          <w:sz w:val="24"/>
        </w:rPr>
      </w:r>
      <w:r/>
    </w:p>
    <w:p>
      <w:pPr>
        <w:pStyle w:val="807"/>
      </w:pPr>
      <w:r/>
      <w:r/>
    </w:p>
    <w:p>
      <w:pPr>
        <w:pStyle w:val="729"/>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29"/>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29"/>
        <w:ind w:firstLine="480"/>
        <w:spacing w:line="360" w:lineRule="auto"/>
        <w:tabs>
          <w:tab w:val="left" w:pos="360" w:leader="none"/>
        </w:tabs>
        <w:rPr>
          <w:rFonts w:hint="eastAsia"/>
          <w:b/>
          <w:bCs/>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b/>
          <w:bCs/>
          <w:sz w:val="24"/>
        </w:rPr>
        <w:t xml:space="preserve">当出现2个包第一中标候选人为同一投标人时，则按01包、02包的顺序确定中标供应商，如投标人被确定为01包的中标单位后，02包将不推荐。</w:t>
      </w:r>
      <w:r/>
    </w:p>
    <w:p>
      <w:pPr>
        <w:pStyle w:val="729"/>
        <w:ind w:firstLine="480"/>
        <w:spacing w:line="360" w:lineRule="auto"/>
        <w:tabs>
          <w:tab w:val="left" w:pos="360" w:leader="none"/>
        </w:tabs>
        <w:rPr>
          <w:sz w:val="24"/>
        </w:rPr>
        <w:outlineLvl w:val="1"/>
      </w:pPr>
      <w:r>
        <w:rPr>
          <w:rFonts w:hint="eastAsia"/>
          <w:sz w:val="24"/>
        </w:rPr>
        <w:t xml:space="preserve">三、每部分的得分保留小数点后两位</w:t>
      </w:r>
      <w:r>
        <w:rPr>
          <w:rFonts w:hint="eastAsia"/>
          <w:sz w:val="24"/>
        </w:rPr>
        <w:t xml:space="preserve">，合计得分保留小数点后两位</w:t>
      </w:r>
      <w:r>
        <w:rPr>
          <w:sz w:val="24"/>
        </w:rPr>
        <w:t xml:space="preserve">，第三位四舍五入</w:t>
      </w:r>
      <w:r>
        <w:rPr>
          <w:rFonts w:hint="eastAsia"/>
          <w:sz w:val="24"/>
        </w:rPr>
        <w:t xml:space="preserve">。</w:t>
      </w:r>
      <w:r>
        <w:rPr>
          <w:sz w:val="24"/>
        </w:rPr>
      </w:r>
      <w:r/>
    </w:p>
    <w:p>
      <w:pPr>
        <w:pStyle w:val="729"/>
        <w:ind w:firstLine="441"/>
        <w:jc w:val="left"/>
        <w:spacing w:line="360" w:lineRule="auto"/>
        <w:rPr>
          <w:rFonts w:hint="eastAsia" w:ascii="宋体" w:hAnsi="宋体"/>
          <w:b/>
          <w:color w:val="000000"/>
          <w:sz w:val="24"/>
          <w:highlight w:val="yellow"/>
        </w:rPr>
      </w:pPr>
      <w:r/>
      <w:bookmarkStart w:id="280" w:name="_Hlk149904248"/>
      <w:r>
        <w:rPr>
          <w:rFonts w:hint="eastAsia" w:ascii="宋体" w:hAnsi="宋体"/>
          <w:b/>
          <w:color w:val="000000"/>
          <w:sz w:val="24"/>
        </w:rPr>
        <w:t xml:space="preserve">四、政府采购政策功能落实</w:t>
      </w:r>
      <w:r>
        <w:rPr>
          <w:rFonts w:hint="eastAsia" w:ascii="宋体" w:hAnsi="宋体"/>
          <w:b/>
          <w:color w:val="000000"/>
          <w:sz w:val="24"/>
          <w:highlight w:val="yellow"/>
        </w:rPr>
      </w:r>
      <w:r/>
    </w:p>
    <w:p>
      <w:pPr>
        <w:pStyle w:val="729"/>
        <w:ind w:firstLine="480"/>
        <w:jc w:val="left"/>
        <w:spacing w:line="360" w:lineRule="auto"/>
        <w:rPr>
          <w:rFonts w:hint="eastAsia" w:ascii="宋体" w:hAnsi="宋体"/>
          <w:color w:val="000000"/>
          <w:sz w:val="24"/>
        </w:rPr>
      </w:pPr>
      <w:r/>
      <w:bookmarkStart w:id="281" w:name="_Hlk152922042"/>
      <w:r>
        <w:rPr>
          <w:rFonts w:hint="eastAsia" w:ascii="宋体" w:hAnsi="宋体"/>
          <w:color w:val="000000"/>
          <w:sz w:val="24"/>
        </w:rPr>
        <w:t xml:space="preserve">1、小微型企业价格扣除</w:t>
      </w:r>
      <w:r/>
    </w:p>
    <w:p>
      <w:pPr>
        <w:pStyle w:val="729"/>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729"/>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729"/>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pStyle w:val="729"/>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pStyle w:val="729"/>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pStyle w:val="729"/>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pStyle w:val="729"/>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pStyle w:val="729"/>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pStyle w:val="729"/>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729"/>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729"/>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729"/>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w:t>
      </w:r>
      <w:r>
        <w:rPr>
          <w:rFonts w:hint="eastAsia" w:ascii="宋体" w:hAnsi="宋体"/>
          <w:color w:val="000000"/>
          <w:sz w:val="24"/>
        </w:rPr>
        <w:t xml:space="preserve">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u w:val="single"/>
        </w:rPr>
        <w:t xml:space="preserve"> / </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29"/>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color w:val="000000"/>
          <w:sz w:val="24"/>
          <w:u w:val="single"/>
        </w:rPr>
        <w:t xml:space="preserve"> </w:t>
      </w:r>
      <w:r>
        <w:rPr>
          <w:rFonts w:hint="eastAsia" w:ascii="宋体" w:hAnsi="宋体"/>
          <w:color w:val="000000"/>
          <w:sz w:val="24"/>
          <w:u w:val="single"/>
        </w:rPr>
        <w:t xml:space="preserve">/</w:t>
      </w:r>
      <w:r>
        <w:rPr>
          <w:rFonts w:hint="eastAsia" w:ascii="宋体" w:hAnsi="宋体"/>
          <w:color w:val="000000"/>
          <w:sz w:val="24"/>
        </w:rPr>
        <w:t xml:space="preserve">价格扣除，用扣除后的价格参与评审。</w:t>
      </w:r>
      <w:r/>
    </w:p>
    <w:p>
      <w:pPr>
        <w:pStyle w:val="729"/>
        <w:ind w:firstLine="480"/>
        <w:jc w:val="left"/>
        <w:spacing w:line="360" w:lineRule="auto"/>
        <w:rPr>
          <w:rFonts w:hint="eastAsia" w:ascii="宋体" w:hAnsi="宋体"/>
          <w:color w:val="000000"/>
          <w:sz w:val="24"/>
        </w:rPr>
      </w:pPr>
      <w:r>
        <w:rPr>
          <w:rFonts w:hint="eastAsia" w:ascii="宋体" w:hAnsi="宋体"/>
          <w:color w:val="000000"/>
          <w:sz w:val="24"/>
        </w:rPr>
      </w:r>
      <w:r/>
    </w:p>
    <w:p>
      <w:pPr>
        <w:pStyle w:val="807"/>
        <w:numPr>
          <w:ilvl w:val="0"/>
          <w:numId w:val="9"/>
        </w:numPr>
        <w:ind w:firstLine="2891"/>
        <w:spacing w:after="120" w:line="360" w:lineRule="auto"/>
        <w:rPr>
          <w:rFonts w:ascii="宋体" w:hAnsi="宋体" w:cs="Times New Roman"/>
          <w:b/>
          <w:bCs/>
          <w:sz w:val="32"/>
          <w:szCs w:val="32"/>
        </w:rPr>
      </w:pPr>
      <w:r/>
      <w:bookmarkEnd w:id="280"/>
      <w:r/>
      <w:bookmarkEnd w:id="281"/>
      <w:r>
        <w:rPr>
          <w:rFonts w:hint="eastAsia" w:ascii="宋体" w:hAnsi="宋体" w:cs="Times New Roman"/>
          <w:b/>
          <w:bCs/>
          <w:sz w:val="32"/>
          <w:szCs w:val="32"/>
        </w:rPr>
        <w:t xml:space="preserve">评标标准</w:t>
      </w:r>
      <w:r>
        <w:rPr>
          <w:rFonts w:ascii="宋体" w:hAnsi="宋体" w:cs="Times New Roman"/>
          <w:b/>
          <w:bCs/>
          <w:sz w:val="32"/>
          <w:szCs w:val="32"/>
        </w:rPr>
      </w:r>
      <w:r/>
    </w:p>
    <w:p>
      <w:pPr>
        <w:pStyle w:val="807"/>
        <w:jc w:val="center"/>
        <w:spacing w:after="120"/>
        <w:rPr>
          <w:rFonts w:ascii="宋体" w:hAnsi="宋体" w:cs="Times New Roman"/>
        </w:rPr>
      </w:pPr>
      <w:r>
        <w:rPr>
          <w:rFonts w:hint="eastAsia" w:ascii="宋体" w:hAnsi="宋体" w:cs="Times New Roman"/>
        </w:rPr>
        <w:t xml:space="preserve">01包评标标准</w:t>
      </w:r>
      <w:r>
        <w:rPr>
          <w:rFonts w:ascii="宋体" w:hAnsi="宋体" w:cs="Times New Roman"/>
        </w:rPr>
      </w:r>
      <w:r/>
    </w:p>
    <w:tbl>
      <w:tblPr>
        <w:tblW w:w="96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621"/>
        <w:gridCol w:w="827"/>
        <w:gridCol w:w="2205"/>
      </w:tblGrid>
      <w:tr>
        <w:trPr>
          <w:trHeight w:val="499"/>
        </w:trPr>
        <w:tc>
          <w:tcPr>
            <w:tcW w:w="993" w:type="dxa"/>
            <w:vAlign w:val="center"/>
            <w:textDirection w:val="lrTb"/>
            <w:noWrap w:val="false"/>
          </w:tcPr>
          <w:p>
            <w:pPr>
              <w:pStyle w:val="729"/>
              <w:jc w:val="center"/>
              <w:rPr>
                <w:rFonts w:ascii="宋体" w:hAnsi="宋体"/>
                <w:szCs w:val="21"/>
              </w:rPr>
            </w:pPr>
            <w:r>
              <w:rPr>
                <w:rFonts w:hint="eastAsia" w:ascii="宋体" w:hAnsi="宋体"/>
                <w:szCs w:val="21"/>
              </w:rPr>
              <w:t xml:space="preserve">评分因素</w:t>
            </w:r>
            <w:r>
              <w:rPr>
                <w:rFonts w:ascii="宋体" w:hAnsi="宋体"/>
                <w:szCs w:val="21"/>
              </w:rPr>
            </w:r>
            <w:r/>
          </w:p>
        </w:tc>
        <w:tc>
          <w:tcPr>
            <w:tcW w:w="5621" w:type="dxa"/>
            <w:vAlign w:val="center"/>
            <w:textDirection w:val="lrTb"/>
            <w:noWrap w:val="false"/>
          </w:tcPr>
          <w:p>
            <w:pPr>
              <w:pStyle w:val="729"/>
              <w:jc w:val="center"/>
              <w:rPr>
                <w:rFonts w:ascii="宋体" w:hAnsi="宋体"/>
                <w:szCs w:val="21"/>
              </w:rPr>
            </w:pPr>
            <w:r>
              <w:rPr>
                <w:rFonts w:hint="eastAsia" w:ascii="宋体" w:hAnsi="宋体"/>
                <w:szCs w:val="21"/>
              </w:rPr>
              <w:t xml:space="preserve">评分标准</w:t>
            </w:r>
            <w:r>
              <w:rPr>
                <w:rFonts w:ascii="宋体" w:hAnsi="宋体"/>
                <w:szCs w:val="21"/>
              </w:rPr>
            </w:r>
            <w:r/>
          </w:p>
        </w:tc>
        <w:tc>
          <w:tcPr>
            <w:tcW w:w="827" w:type="dxa"/>
            <w:vAlign w:val="center"/>
            <w:textDirection w:val="lrTb"/>
            <w:noWrap w:val="false"/>
          </w:tcPr>
          <w:p>
            <w:pPr>
              <w:pStyle w:val="729"/>
              <w:jc w:val="center"/>
              <w:rPr>
                <w:rFonts w:ascii="宋体" w:hAnsi="宋体"/>
                <w:szCs w:val="21"/>
              </w:rPr>
            </w:pPr>
            <w:r>
              <w:rPr>
                <w:rFonts w:hint="eastAsia" w:ascii="宋体" w:hAnsi="宋体"/>
                <w:szCs w:val="21"/>
              </w:rPr>
              <w:t xml:space="preserve">分值</w:t>
            </w:r>
            <w:r>
              <w:rPr>
                <w:rFonts w:ascii="宋体" w:hAnsi="宋体"/>
                <w:szCs w:val="21"/>
              </w:rPr>
            </w:r>
            <w:r/>
          </w:p>
        </w:tc>
        <w:tc>
          <w:tcPr>
            <w:tcW w:w="2205" w:type="dxa"/>
            <w:vAlign w:val="center"/>
            <w:textDirection w:val="lrTb"/>
            <w:noWrap w:val="false"/>
          </w:tcPr>
          <w:p>
            <w:pPr>
              <w:pStyle w:val="729"/>
              <w:jc w:val="center"/>
              <w:rPr>
                <w:rFonts w:ascii="宋体" w:hAnsi="宋体"/>
                <w:szCs w:val="21"/>
              </w:rPr>
            </w:pPr>
            <w:r>
              <w:rPr>
                <w:rFonts w:hint="eastAsia" w:ascii="宋体" w:hAnsi="宋体"/>
                <w:szCs w:val="21"/>
              </w:rPr>
              <w:t xml:space="preserve">评审材料</w:t>
            </w:r>
            <w:r>
              <w:rPr>
                <w:rFonts w:ascii="宋体" w:hAnsi="宋体"/>
                <w:szCs w:val="21"/>
              </w:rPr>
            </w:r>
            <w:r/>
          </w:p>
        </w:tc>
      </w:tr>
      <w:tr>
        <w:trPr>
          <w:trHeight w:val="1073"/>
        </w:trPr>
        <w:tc>
          <w:tcPr>
            <w:tcW w:w="993"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1.1</w:t>
            </w:r>
            <w:r/>
          </w:p>
        </w:tc>
        <w:tc>
          <w:tcPr>
            <w:tcW w:w="5621" w:type="dxa"/>
            <w:vAlign w:val="center"/>
            <w:textDirection w:val="lrTb"/>
            <w:noWrap w:val="false"/>
          </w:tcPr>
          <w:p>
            <w:pPr>
              <w:pStyle w:val="729"/>
              <w:rPr>
                <w:rFonts w:ascii="宋体" w:hAnsi="宋体"/>
                <w:szCs w:val="21"/>
              </w:rPr>
            </w:pPr>
            <w:r>
              <w:rPr>
                <w:rFonts w:hint="eastAsia" w:ascii="宋体" w:hAnsi="宋体"/>
                <w:szCs w:val="21"/>
              </w:rPr>
              <w:t xml:space="preserve">采用低价优先法计算，即满足采购文件要求且报价最低作为评审基准价，其价格分为满分。其他供应商的价格分统一按照下列公式计算：报价得分=(评审基准价／报价)×</w:t>
            </w:r>
            <w:r>
              <w:rPr>
                <w:rFonts w:hint="eastAsia" w:ascii="宋体" w:hAnsi="宋体"/>
                <w:szCs w:val="21"/>
              </w:rPr>
              <w:t xml:space="preserve">30。</w:t>
            </w:r>
            <w:r>
              <w:rPr>
                <w:rFonts w:ascii="宋体" w:hAnsi="宋体"/>
                <w:szCs w:val="21"/>
              </w:rPr>
            </w:r>
            <w:r/>
          </w:p>
        </w:tc>
        <w:tc>
          <w:tcPr>
            <w:tcW w:w="827" w:type="dxa"/>
            <w:vAlign w:val="center"/>
            <w:textDirection w:val="lrTb"/>
            <w:noWrap w:val="false"/>
          </w:tcPr>
          <w:p>
            <w:pPr>
              <w:pStyle w:val="729"/>
              <w:jc w:val="center"/>
              <w:rPr>
                <w:rFonts w:ascii="宋体" w:hAnsi="宋体"/>
                <w:szCs w:val="21"/>
              </w:rPr>
            </w:pPr>
            <w:r>
              <w:rPr>
                <w:rFonts w:hint="eastAsia" w:ascii="宋体" w:hAnsi="宋体"/>
                <w:szCs w:val="21"/>
              </w:rPr>
              <w:t xml:space="preserve">30</w:t>
            </w:r>
            <w:r>
              <w:rPr>
                <w:rFonts w:ascii="宋体" w:hAnsi="宋体"/>
                <w:szCs w:val="21"/>
              </w:rPr>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456"/>
        </w:trPr>
        <w:tc>
          <w:tcPr>
            <w:gridSpan w:val="4"/>
            <w:tcW w:w="9646" w:type="dxa"/>
            <w:vAlign w:val="center"/>
            <w:textDirection w:val="lrTb"/>
            <w:noWrap w:val="false"/>
          </w:tcPr>
          <w:p>
            <w:pPr>
              <w:pStyle w:val="729"/>
              <w:rPr>
                <w:rFonts w:hint="eastAsia" w:ascii="宋体" w:hAnsi="宋体"/>
                <w:szCs w:val="21"/>
              </w:rPr>
            </w:pPr>
            <w:r>
              <w:rPr>
                <w:rFonts w:hint="eastAsia" w:ascii="宋体" w:hAnsi="宋体"/>
                <w:szCs w:val="21"/>
              </w:rPr>
              <w:t xml:space="preserve">主观分（31分）</w:t>
            </w:r>
            <w:r/>
          </w:p>
        </w:tc>
      </w:tr>
      <w:tr>
        <w:trPr>
          <w:trHeight w:val="1339"/>
        </w:trPr>
        <w:tc>
          <w:tcPr>
            <w:tcW w:w="993" w:type="dxa"/>
            <w:vAlign w:val="center"/>
            <w:textDirection w:val="lrTb"/>
            <w:noWrap w:val="false"/>
          </w:tcPr>
          <w:p>
            <w:pPr>
              <w:pStyle w:val="729"/>
              <w:jc w:val="center"/>
              <w:rPr>
                <w:rFonts w:ascii="宋体" w:hAnsi="宋体"/>
                <w:szCs w:val="21"/>
              </w:rPr>
            </w:pPr>
            <w:r>
              <w:rPr>
                <w:rFonts w:hint="eastAsia" w:ascii="宋体" w:hAnsi="宋体"/>
                <w:szCs w:val="21"/>
              </w:rPr>
              <w:t xml:space="preserve">2.1</w:t>
            </w:r>
            <w:r>
              <w:rPr>
                <w:rFonts w:ascii="宋体" w:hAnsi="宋体"/>
                <w:szCs w:val="21"/>
              </w:rPr>
            </w:r>
            <w:r/>
          </w:p>
        </w:tc>
        <w:tc>
          <w:tcPr>
            <w:tcW w:w="5621" w:type="dxa"/>
            <w:vAlign w:val="center"/>
            <w:textDirection w:val="lrTb"/>
            <w:noWrap w:val="false"/>
          </w:tcPr>
          <w:p>
            <w:pPr>
              <w:pStyle w:val="729"/>
              <w:rPr>
                <w:rFonts w:ascii="宋体" w:hAnsi="宋体"/>
                <w:szCs w:val="21"/>
              </w:rPr>
            </w:pPr>
            <w:r>
              <w:rPr>
                <w:rFonts w:hint="eastAsia" w:ascii="宋体" w:hAnsi="宋体"/>
                <w:szCs w:val="21"/>
              </w:rPr>
              <w:t xml:space="preserve">根据投标人编制的项目实施方案，包括：</w:t>
            </w:r>
            <w:r>
              <w:rPr>
                <w:rFonts w:ascii="宋体" w:hAnsi="宋体"/>
                <w:szCs w:val="21"/>
              </w:rPr>
            </w:r>
            <w:r/>
          </w:p>
          <w:p>
            <w:pPr>
              <w:pStyle w:val="729"/>
              <w:rPr>
                <w:rFonts w:ascii="宋体" w:hAnsi="宋体"/>
                <w:szCs w:val="21"/>
              </w:rPr>
            </w:pPr>
            <w:r>
              <w:rPr>
                <w:rFonts w:hint="eastAsia" w:ascii="宋体" w:hAnsi="宋体"/>
                <w:szCs w:val="21"/>
              </w:rPr>
              <w:t xml:space="preserve">（1）货物采购、</w:t>
            </w:r>
            <w:r>
              <w:rPr>
                <w:rFonts w:ascii="宋体" w:hAnsi="宋体"/>
                <w:szCs w:val="21"/>
              </w:rPr>
              <w:t xml:space="preserve">运输、配送措施</w:t>
            </w:r>
            <w:r>
              <w:rPr>
                <w:rFonts w:hint="eastAsia" w:ascii="宋体" w:hAnsi="宋体"/>
                <w:szCs w:val="21"/>
              </w:rPr>
              <w:t xml:space="preserve">（5分）</w:t>
            </w:r>
            <w:r>
              <w:rPr>
                <w:rFonts w:hint="eastAsia" w:ascii="宋体" w:hAnsi="宋体"/>
                <w:szCs w:val="21"/>
              </w:rPr>
              <w:t xml:space="preserve">；</w:t>
            </w:r>
            <w:r>
              <w:rPr>
                <w:rFonts w:ascii="宋体" w:hAnsi="宋体"/>
                <w:szCs w:val="21"/>
              </w:rPr>
            </w:r>
            <w:r/>
          </w:p>
          <w:p>
            <w:pPr>
              <w:pStyle w:val="729"/>
              <w:rPr>
                <w:rFonts w:ascii="宋体" w:hAnsi="宋体"/>
                <w:szCs w:val="21"/>
              </w:rPr>
            </w:pPr>
            <w:r>
              <w:rPr>
                <w:rFonts w:ascii="宋体" w:hAnsi="宋体"/>
                <w:szCs w:val="21"/>
              </w:rPr>
              <w:t xml:space="preserve">（2）进度</w:t>
            </w:r>
            <w:r>
              <w:rPr>
                <w:rFonts w:hint="eastAsia" w:ascii="宋体" w:hAnsi="宋体"/>
                <w:szCs w:val="21"/>
              </w:rPr>
              <w:t xml:space="preserve">计划</w:t>
            </w:r>
            <w:r>
              <w:rPr>
                <w:rFonts w:ascii="宋体" w:hAnsi="宋体"/>
                <w:szCs w:val="21"/>
              </w:rPr>
              <w:t xml:space="preserve">、质量保障措施</w:t>
            </w:r>
            <w:r>
              <w:rPr>
                <w:rFonts w:hint="eastAsia" w:ascii="宋体" w:hAnsi="宋体"/>
                <w:szCs w:val="21"/>
              </w:rPr>
              <w:t xml:space="preserve">（5分）</w:t>
            </w:r>
            <w:r>
              <w:rPr>
                <w:rFonts w:hint="eastAsia" w:ascii="宋体" w:hAnsi="宋体"/>
                <w:szCs w:val="21"/>
              </w:rPr>
              <w:t xml:space="preserve">；</w:t>
            </w:r>
            <w:r>
              <w:rPr>
                <w:rFonts w:ascii="宋体" w:hAnsi="宋体"/>
                <w:szCs w:val="21"/>
              </w:rPr>
            </w:r>
            <w:r/>
          </w:p>
          <w:p>
            <w:pPr>
              <w:pStyle w:val="729"/>
              <w:rPr>
                <w:rFonts w:ascii="宋体" w:hAnsi="宋体"/>
                <w:szCs w:val="21"/>
              </w:rPr>
            </w:pPr>
            <w:r>
              <w:rPr>
                <w:rFonts w:ascii="宋体" w:hAnsi="宋体"/>
                <w:szCs w:val="21"/>
              </w:rPr>
              <w:t xml:space="preserve">（3）应急措施</w:t>
            </w:r>
            <w:r>
              <w:rPr>
                <w:rFonts w:hint="eastAsia" w:ascii="宋体" w:hAnsi="宋体"/>
                <w:szCs w:val="21"/>
              </w:rPr>
              <w:t xml:space="preserve">（5分）</w:t>
            </w:r>
            <w:r>
              <w:rPr>
                <w:rFonts w:hint="eastAsia" w:ascii="宋体" w:hAnsi="宋体"/>
                <w:szCs w:val="21"/>
              </w:rPr>
              <w:t xml:space="preserve">。</w:t>
            </w:r>
            <w:r>
              <w:rPr>
                <w:rFonts w:ascii="宋体" w:hAnsi="宋体"/>
                <w:szCs w:val="21"/>
              </w:rPr>
            </w:r>
            <w:r/>
          </w:p>
          <w:p>
            <w:pPr>
              <w:pStyle w:val="729"/>
              <w:rPr>
                <w:rFonts w:hint="eastAsia" w:ascii="宋体" w:hAnsi="宋体"/>
                <w:szCs w:val="21"/>
              </w:rPr>
            </w:pPr>
            <w:r>
              <w:rPr>
                <w:rFonts w:hint="eastAsia" w:ascii="宋体" w:hAnsi="宋体"/>
                <w:szCs w:val="21"/>
              </w:rPr>
              <w:t xml:space="preserve">方案完善详细，措施科学合理，针对性强，操作性强，每项得5分；方案完整，措施合理，针对性一般，操作性一般，每项得3</w:t>
            </w:r>
            <w:r>
              <w:rPr>
                <w:rFonts w:ascii="宋体" w:hAnsi="宋体"/>
                <w:szCs w:val="21"/>
              </w:rPr>
              <w:t xml:space="preserve">分；</w:t>
            </w:r>
            <w:r>
              <w:rPr>
                <w:rFonts w:hint="eastAsia" w:ascii="宋体" w:hAnsi="宋体"/>
                <w:szCs w:val="21"/>
              </w:rPr>
              <w:t xml:space="preserve">方案简单，措施一般，每项得</w:t>
            </w:r>
            <w:r>
              <w:rPr>
                <w:rFonts w:ascii="宋体" w:hAnsi="宋体"/>
                <w:szCs w:val="21"/>
              </w:rPr>
              <w:t xml:space="preserve">1分；</w:t>
            </w:r>
            <w:r>
              <w:rPr>
                <w:rFonts w:hint="eastAsia" w:ascii="宋体" w:hAnsi="宋体"/>
                <w:szCs w:val="21"/>
              </w:rPr>
              <w:t xml:space="preserve">其他不得分。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15</w:t>
            </w:r>
            <w:r/>
          </w:p>
        </w:tc>
        <w:tc>
          <w:tcPr>
            <w:tcW w:w="2205" w:type="dxa"/>
            <w:vAlign w:val="center"/>
            <w:textDirection w:val="lrTb"/>
            <w:noWrap w:val="false"/>
          </w:tcPr>
          <w:p>
            <w:pPr>
              <w:pStyle w:val="729"/>
              <w:rPr>
                <w:rFonts w:ascii="宋体" w:hAnsi="宋体"/>
                <w:szCs w:val="21"/>
              </w:rPr>
            </w:pPr>
            <w:r>
              <w:rPr>
                <w:rFonts w:hint="eastAsia" w:ascii="宋体" w:hAnsi="宋体"/>
                <w:szCs w:val="21"/>
              </w:rPr>
              <w:t xml:space="preserve">  </w:t>
            </w:r>
            <w:r>
              <w:rPr>
                <w:rFonts w:ascii="宋体" w:hAnsi="宋体"/>
                <w:szCs w:val="21"/>
              </w:rPr>
            </w:r>
            <w:r/>
          </w:p>
          <w:p>
            <w:pPr>
              <w:pStyle w:val="729"/>
              <w:rPr>
                <w:rFonts w:hint="eastAsia" w:ascii="宋体" w:hAnsi="宋体"/>
                <w:szCs w:val="21"/>
              </w:rPr>
            </w:pPr>
            <w:r>
              <w:rPr>
                <w:rFonts w:hint="eastAsia" w:ascii="宋体" w:hAnsi="宋体"/>
                <w:szCs w:val="21"/>
              </w:rPr>
            </w:r>
            <w:r/>
          </w:p>
        </w:tc>
      </w:tr>
      <w:tr>
        <w:trPr>
          <w:trHeight w:val="1393"/>
        </w:trPr>
        <w:tc>
          <w:tcPr>
            <w:tcW w:w="993"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2.2</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根据投标企业的售后服务方案、本地化服务能力进行评审：</w:t>
            </w:r>
            <w:r/>
          </w:p>
          <w:p>
            <w:pPr>
              <w:pStyle w:val="729"/>
              <w:rPr>
                <w:rFonts w:hint="eastAsia" w:ascii="宋体" w:hAnsi="宋体"/>
                <w:szCs w:val="21"/>
              </w:rPr>
            </w:pPr>
            <w:r>
              <w:rPr>
                <w:rFonts w:hint="eastAsia" w:ascii="宋体" w:hAnsi="宋体"/>
                <w:szCs w:val="21"/>
              </w:rPr>
              <w:t xml:space="preserve">售后</w:t>
            </w:r>
            <w:r>
              <w:rPr>
                <w:rFonts w:hint="eastAsia" w:ascii="宋体" w:hAnsi="宋体"/>
                <w:szCs w:val="21"/>
              </w:rPr>
              <w:t xml:space="preserve">服务机构配置科学合理，维保人员配置齐全、经验丰富，本地化服务能力强，得</w:t>
            </w:r>
            <w:r>
              <w:rPr>
                <w:rFonts w:hint="eastAsia" w:ascii="宋体" w:hAnsi="宋体"/>
                <w:szCs w:val="21"/>
              </w:rPr>
              <w:t xml:space="preserve">8</w:t>
            </w:r>
            <w:r>
              <w:rPr>
                <w:rFonts w:hint="eastAsia" w:ascii="宋体" w:hAnsi="宋体"/>
                <w:szCs w:val="21"/>
              </w:rPr>
              <w:t xml:space="preserve">分；售后服务机构配置合理，维保人员配置合理，本地化服务能力一般，得</w:t>
            </w:r>
            <w:r>
              <w:rPr>
                <w:rFonts w:hint="eastAsia" w:ascii="宋体" w:hAnsi="宋体"/>
                <w:szCs w:val="21"/>
              </w:rPr>
              <w:t xml:space="preserve">6</w:t>
            </w:r>
            <w:r>
              <w:rPr>
                <w:rFonts w:hint="eastAsia" w:ascii="宋体" w:hAnsi="宋体"/>
                <w:szCs w:val="21"/>
              </w:rPr>
              <w:t xml:space="preserve">分；仅提供售后服务机构、人员</w:t>
            </w:r>
            <w:r>
              <w:rPr>
                <w:rFonts w:hint="eastAsia" w:ascii="宋体" w:hAnsi="宋体"/>
                <w:szCs w:val="21"/>
              </w:rPr>
              <w:t xml:space="preserve">的，得</w:t>
            </w:r>
            <w:r>
              <w:rPr>
                <w:rFonts w:hint="eastAsia" w:ascii="宋体" w:hAnsi="宋体"/>
                <w:szCs w:val="21"/>
              </w:rPr>
              <w:t xml:space="preserve">4</w:t>
            </w:r>
            <w:r>
              <w:rPr>
                <w:rFonts w:hint="eastAsia" w:ascii="宋体" w:hAnsi="宋体"/>
                <w:szCs w:val="21"/>
              </w:rPr>
              <w:t xml:space="preserve">分；其它不得分。</w:t>
            </w:r>
            <w:r>
              <w:rPr>
                <w:rFonts w:hint="eastAsia" w:ascii="宋体" w:hAnsi="宋体"/>
                <w:szCs w:val="21"/>
              </w:rPr>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8</w:t>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271"/>
        </w:trPr>
        <w:tc>
          <w:tcPr>
            <w:tcW w:w="993"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2.3</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根据投标人提供的培训方案及培训计划的完整性、可行性以及培训的具 体内容及方式，确保使用人员能够独立熟练操作、维护和正常使用，由评标委员会进行综合评审：方案完整、可行，针对性强，能完全满足项目实施要求的，得8分；方案较具体、可行，针对性较强，能基本满足项目实施要求的，得6分；方案内容较简单，针对性不强，对项目实施要求响应一般的，得4分；其他不得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8</w:t>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413"/>
        </w:trPr>
        <w:tc>
          <w:tcPr>
            <w:gridSpan w:val="4"/>
            <w:tcW w:w="9646" w:type="dxa"/>
            <w:vAlign w:val="center"/>
            <w:textDirection w:val="lrTb"/>
            <w:noWrap w:val="false"/>
          </w:tcPr>
          <w:p>
            <w:pPr>
              <w:pStyle w:val="729"/>
              <w:rPr>
                <w:rFonts w:ascii="宋体" w:hAnsi="宋体"/>
                <w:szCs w:val="21"/>
              </w:rPr>
            </w:pPr>
            <w:r>
              <w:rPr>
                <w:rFonts w:hint="eastAsia" w:ascii="宋体" w:hAnsi="宋体"/>
                <w:szCs w:val="21"/>
              </w:rPr>
              <w:t xml:space="preserve">客观分（39分）</w:t>
            </w:r>
            <w:r>
              <w:rPr>
                <w:rFonts w:ascii="宋体" w:hAnsi="宋体"/>
                <w:szCs w:val="21"/>
              </w:rPr>
            </w:r>
            <w:r/>
          </w:p>
        </w:tc>
      </w:tr>
      <w:tr>
        <w:trPr>
          <w:trHeight w:val="802"/>
        </w:trPr>
        <w:tc>
          <w:tcPr>
            <w:tcW w:w="993"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3.1</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投标人具有有效的质量体系认证证书，环境管理体系认证证书，职业键康管理体系认证证书，每提供一项得1分，最高得3分。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w:t>
            </w:r>
            <w:r/>
          </w:p>
        </w:tc>
        <w:tc>
          <w:tcPr>
            <w:tcW w:w="2205" w:type="dxa"/>
            <w:vAlign w:val="center"/>
            <w:textDirection w:val="lrTb"/>
            <w:noWrap w:val="false"/>
          </w:tcPr>
          <w:p>
            <w:pPr>
              <w:pStyle w:val="729"/>
              <w:rPr>
                <w:rFonts w:hint="eastAsia" w:ascii="宋体" w:hAnsi="宋体"/>
                <w:szCs w:val="21"/>
              </w:rPr>
            </w:pPr>
            <w:r>
              <w:rPr>
                <w:rFonts w:hint="eastAsia" w:ascii="宋体" w:hAnsi="宋体"/>
                <w:szCs w:val="21"/>
              </w:rPr>
              <w:t xml:space="preserve">提供证书【须在国家认监委官网最新查询状态为“有效”】</w:t>
            </w:r>
            <w:r>
              <w:rPr>
                <w:rFonts w:hint="eastAsia" w:ascii="宋体" w:hAnsi="宋体"/>
                <w:szCs w:val="21"/>
              </w:rPr>
            </w:r>
            <w:r/>
          </w:p>
        </w:tc>
      </w:tr>
      <w:tr>
        <w:trPr>
          <w:trHeight w:val="983"/>
        </w:trPr>
        <w:tc>
          <w:tcPr>
            <w:tcW w:w="993"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3.2</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类似业绩：投标企业自2022年10月以来完成过类似项目业绩成功案例，每提供一个案例得2分，本项最高得分6分。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6</w:t>
            </w:r>
            <w:r/>
          </w:p>
        </w:tc>
        <w:tc>
          <w:tcPr>
            <w:tcW w:w="2205" w:type="dxa"/>
            <w:vAlign w:val="center"/>
            <w:textDirection w:val="lrTb"/>
            <w:noWrap w:val="false"/>
          </w:tcPr>
          <w:p>
            <w:pPr>
              <w:pStyle w:val="729"/>
              <w:rPr>
                <w:rFonts w:hint="eastAsia" w:ascii="宋体" w:hAnsi="宋体"/>
                <w:szCs w:val="21"/>
              </w:rPr>
            </w:pPr>
            <w:r>
              <w:rPr>
                <w:rFonts w:hint="eastAsia" w:ascii="宋体" w:hAnsi="宋体"/>
                <w:szCs w:val="21"/>
              </w:rPr>
              <w:t xml:space="preserve">同时提供合同、中标或成交通知书、验收单和合同价款部分发票、时间以签订合同时间为准、不提供或提供不全不得分。</w:t>
            </w:r>
            <w:r/>
          </w:p>
        </w:tc>
      </w:tr>
      <w:tr>
        <w:trPr>
          <w:trHeight w:val="1514"/>
        </w:trPr>
        <w:tc>
          <w:tcPr>
            <w:tcW w:w="993"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3.3</w:t>
            </w:r>
            <w:r/>
          </w:p>
        </w:tc>
        <w:tc>
          <w:tcPr>
            <w:tcW w:w="5621" w:type="dxa"/>
            <w:vAlign w:val="center"/>
            <w:textDirection w:val="lrTb"/>
            <w:noWrap w:val="false"/>
          </w:tcPr>
          <w:p>
            <w:pPr>
              <w:pStyle w:val="729"/>
              <w:rPr>
                <w:rFonts w:ascii="宋体" w:hAnsi="宋体"/>
                <w:szCs w:val="21"/>
              </w:rPr>
            </w:pPr>
            <w:r>
              <w:rPr>
                <w:rFonts w:hint="eastAsia" w:ascii="宋体" w:hAnsi="宋体"/>
                <w:szCs w:val="21"/>
              </w:rPr>
              <w:t xml:space="preserve">投标人提供产品</w:t>
            </w:r>
            <w:r>
              <w:rPr>
                <w:rFonts w:hint="eastAsia" w:ascii="宋体" w:hAnsi="宋体"/>
                <w:szCs w:val="21"/>
              </w:rPr>
              <w:t xml:space="preserve">的</w:t>
            </w:r>
            <w:r>
              <w:rPr>
                <w:rFonts w:hint="eastAsia" w:ascii="宋体" w:hAnsi="宋体"/>
                <w:szCs w:val="21"/>
              </w:rPr>
              <w:t xml:space="preserve">品质</w:t>
            </w:r>
            <w:r>
              <w:rPr>
                <w:rFonts w:hint="eastAsia" w:ascii="宋体" w:hAnsi="宋体"/>
                <w:szCs w:val="21"/>
              </w:rPr>
              <w:t xml:space="preserve">：全部符合</w:t>
            </w:r>
            <w:r>
              <w:rPr>
                <w:rFonts w:hint="eastAsia" w:ascii="宋体" w:hAnsi="宋体"/>
                <w:szCs w:val="21"/>
              </w:rPr>
              <w:t xml:space="preserve">参数</w:t>
            </w:r>
            <w:r>
              <w:rPr>
                <w:rFonts w:hint="eastAsia" w:ascii="宋体" w:hAnsi="宋体"/>
                <w:szCs w:val="21"/>
              </w:rPr>
              <w:t xml:space="preserve">要求的得30</w:t>
            </w:r>
            <w:r>
              <w:rPr>
                <w:rFonts w:ascii="宋体" w:hAnsi="宋体"/>
                <w:szCs w:val="21"/>
              </w:rPr>
              <w:t xml:space="preserve">分</w:t>
            </w:r>
            <w:r>
              <w:rPr>
                <w:rFonts w:hint="eastAsia" w:ascii="宋体" w:hAnsi="宋体"/>
                <w:szCs w:val="21"/>
              </w:rPr>
              <w:t xml:space="preserve">；</w:t>
            </w:r>
            <w:r>
              <w:rPr>
                <w:rFonts w:ascii="宋体" w:hAnsi="宋体"/>
                <w:szCs w:val="21"/>
              </w:rPr>
              <w:t xml:space="preserve">标注</w:t>
            </w:r>
            <w:r>
              <w:rPr>
                <w:rFonts w:hint="eastAsia" w:ascii="宋体" w:hAnsi="宋体"/>
                <w:szCs w:val="21"/>
              </w:rPr>
              <w:t xml:space="preserve">“▲”</w:t>
            </w:r>
            <w:r>
              <w:rPr>
                <w:rFonts w:ascii="宋体" w:hAnsi="宋体"/>
                <w:szCs w:val="21"/>
              </w:rPr>
              <w:t xml:space="preserve">有一项不满足扣</w:t>
            </w:r>
            <w:r>
              <w:rPr>
                <w:rFonts w:hint="eastAsia" w:ascii="宋体" w:hAnsi="宋体"/>
                <w:szCs w:val="21"/>
              </w:rPr>
              <w:t xml:space="preserve">1.5</w:t>
            </w:r>
            <w:r>
              <w:rPr>
                <w:rFonts w:ascii="宋体" w:hAnsi="宋体"/>
                <w:szCs w:val="21"/>
              </w:rPr>
              <w:t xml:space="preserve">分；未标注</w:t>
            </w:r>
            <w:r>
              <w:rPr>
                <w:rFonts w:hint="eastAsia" w:ascii="宋体" w:hAnsi="宋体"/>
                <w:szCs w:val="21"/>
              </w:rPr>
              <w:t xml:space="preserve">▲的</w:t>
            </w:r>
            <w:r>
              <w:rPr>
                <w:rFonts w:ascii="宋体" w:hAnsi="宋体"/>
                <w:szCs w:val="21"/>
              </w:rPr>
              <w:t xml:space="preserve">有一项不满足扣0.</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。扣完为止</w:t>
            </w:r>
            <w:r>
              <w:rPr>
                <w:rFonts w:hint="eastAsia" w:ascii="宋体" w:hAnsi="宋体"/>
                <w:szCs w:val="21"/>
              </w:rPr>
              <w:t xml:space="preserve">。</w:t>
            </w:r>
            <w:r>
              <w:rPr>
                <w:rFonts w:ascii="宋体" w:hAnsi="宋体"/>
                <w:szCs w:val="21"/>
              </w:rPr>
            </w:r>
            <w:r/>
          </w:p>
          <w:p>
            <w:pPr>
              <w:pStyle w:val="729"/>
              <w:rPr>
                <w:rFonts w:hint="eastAsia" w:ascii="宋体" w:hAnsi="宋体"/>
                <w:b/>
                <w:bCs/>
                <w:szCs w:val="21"/>
              </w:rPr>
            </w:pPr>
            <w:r>
              <w:rPr>
                <w:rFonts w:hint="eastAsia" w:ascii="宋体" w:hAnsi="宋体"/>
                <w:b/>
                <w:bCs/>
                <w:szCs w:val="21"/>
              </w:rPr>
              <w:t xml:space="preserve">注：采购需求中明确要求提供检测报告、相关证书、产品彩页等</w:t>
            </w:r>
            <w:r>
              <w:rPr>
                <w:rFonts w:hint="eastAsia" w:ascii="宋体" w:hAnsi="宋体"/>
                <w:b/>
                <w:bCs/>
                <w:szCs w:val="21"/>
              </w:rPr>
              <w:t xml:space="preserve">证明材料的</w:t>
            </w:r>
            <w:r>
              <w:rPr>
                <w:rFonts w:hint="eastAsia" w:ascii="宋体" w:hAnsi="宋体"/>
                <w:b/>
                <w:bCs/>
                <w:szCs w:val="21"/>
              </w:rPr>
              <w:t xml:space="preserve">，未提供的，评审时不予认可，作为不满足处理</w:t>
            </w:r>
            <w:r>
              <w:rPr>
                <w:rFonts w:hint="eastAsia" w:ascii="宋体" w:hAnsi="宋体"/>
                <w:b/>
                <w:bCs/>
                <w:szCs w:val="21"/>
              </w:rPr>
              <w:t xml:space="preserve">。</w:t>
            </w:r>
            <w:r>
              <w:rPr>
                <w:rFonts w:hint="eastAsia" w:ascii="宋体" w:hAnsi="宋体"/>
                <w:b/>
                <w:bCs/>
                <w:szCs w:val="21"/>
              </w:rPr>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30</w:t>
            </w:r>
            <w:r/>
          </w:p>
        </w:tc>
        <w:tc>
          <w:tcPr>
            <w:tcW w:w="2205" w:type="dxa"/>
            <w:vAlign w:val="center"/>
            <w:textDirection w:val="lrTb"/>
            <w:noWrap w:val="false"/>
          </w:tcPr>
          <w:p>
            <w:pPr>
              <w:pStyle w:val="729"/>
              <w:rPr>
                <w:rFonts w:hint="eastAsia" w:ascii="宋体" w:hAnsi="宋体"/>
                <w:szCs w:val="21"/>
              </w:rPr>
            </w:pPr>
            <w:r>
              <w:rPr>
                <w:rFonts w:hint="eastAsia" w:ascii="宋体" w:hAnsi="宋体"/>
                <w:szCs w:val="21"/>
              </w:rPr>
            </w:r>
            <w:r/>
          </w:p>
        </w:tc>
      </w:tr>
    </w:tbl>
    <w:p>
      <w:pPr>
        <w:pStyle w:val="729"/>
        <w:spacing w:before="120" w:line="360" w:lineRule="auto"/>
        <w:tabs>
          <w:tab w:val="left" w:pos="360" w:leader="none"/>
        </w:tabs>
        <w:rPr>
          <w:rFonts w:hint="eastAsia"/>
          <w:b/>
          <w:bCs/>
          <w:sz w:val="24"/>
        </w:rPr>
        <w:outlineLvl w:val="1"/>
      </w:pPr>
      <w:r>
        <w:rPr>
          <w:rFonts w:hint="eastAsia"/>
          <w:b/>
          <w:bCs/>
          <w:sz w:val="24"/>
        </w:rPr>
      </w:r>
      <w:r/>
    </w:p>
    <w:p>
      <w:pPr>
        <w:pStyle w:val="729"/>
        <w:jc w:val="center"/>
        <w:spacing w:before="120" w:line="360" w:lineRule="auto"/>
        <w:tabs>
          <w:tab w:val="left" w:pos="360" w:leader="none"/>
        </w:tabs>
        <w:rPr>
          <w:sz w:val="24"/>
        </w:rPr>
        <w:outlineLvl w:val="1"/>
      </w:pPr>
      <w:r>
        <w:rPr>
          <w:rFonts w:hint="eastAsia"/>
          <w:sz w:val="24"/>
        </w:rPr>
        <w:t xml:space="preserve">02包评标标准</w:t>
      </w:r>
      <w:r>
        <w:rPr>
          <w:sz w:val="24"/>
        </w:rPr>
      </w:r>
      <w:r/>
    </w:p>
    <w:tbl>
      <w:tblPr>
        <w:tblW w:w="96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001"/>
        <w:gridCol w:w="5621"/>
        <w:gridCol w:w="827"/>
        <w:gridCol w:w="2205"/>
      </w:tblGrid>
      <w:tr>
        <w:trPr>
          <w:trHeight w:val="499"/>
        </w:trPr>
        <w:tc>
          <w:tcPr>
            <w:tcW w:w="1001" w:type="dxa"/>
            <w:vAlign w:val="center"/>
            <w:textDirection w:val="lrTb"/>
            <w:noWrap w:val="false"/>
          </w:tcPr>
          <w:p>
            <w:pPr>
              <w:pStyle w:val="729"/>
              <w:jc w:val="center"/>
              <w:rPr>
                <w:rFonts w:ascii="宋体" w:hAnsi="宋体"/>
                <w:szCs w:val="21"/>
              </w:rPr>
            </w:pPr>
            <w:r/>
            <w:bookmarkStart w:id="282" w:name="_Hlk179413537"/>
            <w:r>
              <w:rPr>
                <w:rFonts w:hint="eastAsia" w:ascii="宋体" w:hAnsi="宋体"/>
                <w:szCs w:val="21"/>
              </w:rPr>
              <w:t xml:space="preserve">评分因素</w:t>
            </w:r>
            <w:r>
              <w:rPr>
                <w:rFonts w:ascii="宋体" w:hAnsi="宋体"/>
                <w:szCs w:val="21"/>
              </w:rPr>
            </w:r>
            <w:r/>
          </w:p>
        </w:tc>
        <w:tc>
          <w:tcPr>
            <w:tcW w:w="5621" w:type="dxa"/>
            <w:vAlign w:val="center"/>
            <w:textDirection w:val="lrTb"/>
            <w:noWrap w:val="false"/>
          </w:tcPr>
          <w:p>
            <w:pPr>
              <w:pStyle w:val="729"/>
              <w:jc w:val="center"/>
              <w:rPr>
                <w:rFonts w:ascii="宋体" w:hAnsi="宋体"/>
                <w:szCs w:val="21"/>
              </w:rPr>
            </w:pPr>
            <w:r>
              <w:rPr>
                <w:rFonts w:hint="eastAsia" w:ascii="宋体" w:hAnsi="宋体"/>
                <w:szCs w:val="21"/>
              </w:rPr>
              <w:t xml:space="preserve">评分标准</w:t>
            </w:r>
            <w:r>
              <w:rPr>
                <w:rFonts w:ascii="宋体" w:hAnsi="宋体"/>
                <w:szCs w:val="21"/>
              </w:rPr>
            </w:r>
            <w:r/>
          </w:p>
        </w:tc>
        <w:tc>
          <w:tcPr>
            <w:tcW w:w="827" w:type="dxa"/>
            <w:vAlign w:val="center"/>
            <w:textDirection w:val="lrTb"/>
            <w:noWrap w:val="false"/>
          </w:tcPr>
          <w:p>
            <w:pPr>
              <w:pStyle w:val="729"/>
              <w:jc w:val="center"/>
              <w:rPr>
                <w:rFonts w:ascii="宋体" w:hAnsi="宋体"/>
                <w:szCs w:val="21"/>
              </w:rPr>
            </w:pPr>
            <w:r>
              <w:rPr>
                <w:rFonts w:hint="eastAsia" w:ascii="宋体" w:hAnsi="宋体"/>
                <w:szCs w:val="21"/>
              </w:rPr>
              <w:t xml:space="preserve">分值</w:t>
            </w:r>
            <w:r>
              <w:rPr>
                <w:rFonts w:ascii="宋体" w:hAnsi="宋体"/>
                <w:szCs w:val="21"/>
              </w:rPr>
            </w:r>
            <w:r/>
          </w:p>
        </w:tc>
        <w:tc>
          <w:tcPr>
            <w:tcW w:w="2205" w:type="dxa"/>
            <w:vAlign w:val="center"/>
            <w:textDirection w:val="lrTb"/>
            <w:noWrap w:val="false"/>
          </w:tcPr>
          <w:p>
            <w:pPr>
              <w:pStyle w:val="729"/>
              <w:jc w:val="center"/>
              <w:rPr>
                <w:rFonts w:ascii="宋体" w:hAnsi="宋体"/>
                <w:szCs w:val="21"/>
              </w:rPr>
            </w:pPr>
            <w:r>
              <w:rPr>
                <w:rFonts w:hint="eastAsia" w:ascii="宋体" w:hAnsi="宋体"/>
                <w:szCs w:val="21"/>
              </w:rPr>
              <w:t xml:space="preserve">评审材料</w:t>
            </w:r>
            <w:r>
              <w:rPr>
                <w:rFonts w:ascii="宋体" w:hAnsi="宋体"/>
                <w:szCs w:val="21"/>
              </w:rPr>
            </w:r>
            <w:r/>
          </w:p>
        </w:tc>
      </w:tr>
      <w:tr>
        <w:trPr>
          <w:trHeight w:val="1073"/>
        </w:trPr>
        <w:tc>
          <w:tcPr>
            <w:tcW w:w="1001"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1.1</w:t>
            </w:r>
            <w:r/>
          </w:p>
        </w:tc>
        <w:tc>
          <w:tcPr>
            <w:tcW w:w="5621" w:type="dxa"/>
            <w:vAlign w:val="center"/>
            <w:textDirection w:val="lrTb"/>
            <w:noWrap w:val="false"/>
          </w:tcPr>
          <w:p>
            <w:pPr>
              <w:pStyle w:val="729"/>
              <w:rPr>
                <w:rFonts w:ascii="宋体" w:hAnsi="宋体"/>
                <w:szCs w:val="21"/>
              </w:rPr>
            </w:pPr>
            <w:r>
              <w:rPr>
                <w:rFonts w:hint="eastAsia" w:ascii="宋体" w:hAnsi="宋体"/>
                <w:szCs w:val="21"/>
              </w:rPr>
              <w:t xml:space="preserve">采用低价优先法计算，即满足采购文件要求且报价最低作为评审基准价，其价格分为满分。其他供应商的价格分统一按照下列公式计算：报价得分=(评审基准价／报价)×3</w:t>
            </w:r>
            <w:r>
              <w:rPr>
                <w:rFonts w:ascii="宋体" w:hAnsi="宋体"/>
                <w:szCs w:val="21"/>
              </w:rPr>
              <w:t xml:space="preserve">0</w:t>
            </w:r>
            <w:r>
              <w:rPr>
                <w:rFonts w:hint="eastAsia" w:ascii="宋体" w:hAnsi="宋体"/>
                <w:szCs w:val="21"/>
              </w:rPr>
              <w:t xml:space="preserve">。</w:t>
            </w:r>
            <w:r>
              <w:rPr>
                <w:rFonts w:ascii="宋体" w:hAnsi="宋体"/>
                <w:szCs w:val="21"/>
              </w:rPr>
            </w:r>
            <w:r/>
          </w:p>
        </w:tc>
        <w:tc>
          <w:tcPr>
            <w:tcW w:w="827" w:type="dxa"/>
            <w:vAlign w:val="center"/>
            <w:textDirection w:val="lrTb"/>
            <w:noWrap w:val="false"/>
          </w:tcPr>
          <w:p>
            <w:pPr>
              <w:pStyle w:val="729"/>
              <w:jc w:val="center"/>
              <w:rPr>
                <w:rFonts w:ascii="宋体" w:hAnsi="宋体"/>
                <w:szCs w:val="21"/>
              </w:rPr>
            </w:pPr>
            <w:r>
              <w:rPr>
                <w:rFonts w:hint="eastAsia" w:ascii="宋体" w:hAnsi="宋体"/>
                <w:szCs w:val="21"/>
              </w:rPr>
              <w:t xml:space="preserve">30</w:t>
            </w:r>
            <w:r>
              <w:rPr>
                <w:rFonts w:ascii="宋体" w:hAnsi="宋体"/>
                <w:szCs w:val="21"/>
              </w:rPr>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456"/>
        </w:trPr>
        <w:tc>
          <w:tcPr>
            <w:gridSpan w:val="4"/>
            <w:tcW w:w="9654" w:type="dxa"/>
            <w:vAlign w:val="center"/>
            <w:textDirection w:val="lrTb"/>
            <w:noWrap w:val="false"/>
          </w:tcPr>
          <w:p>
            <w:pPr>
              <w:pStyle w:val="729"/>
              <w:rPr>
                <w:rFonts w:hint="eastAsia" w:ascii="宋体" w:hAnsi="宋体"/>
                <w:szCs w:val="21"/>
              </w:rPr>
            </w:pPr>
            <w:r>
              <w:rPr>
                <w:rFonts w:hint="eastAsia" w:ascii="宋体" w:hAnsi="宋体"/>
                <w:szCs w:val="21"/>
              </w:rPr>
              <w:t xml:space="preserve">主观分（31分）   </w:t>
            </w:r>
            <w:r/>
          </w:p>
        </w:tc>
      </w:tr>
      <w:tr>
        <w:trPr>
          <w:trHeight w:val="1339"/>
        </w:trPr>
        <w:tc>
          <w:tcPr>
            <w:tcW w:w="1001" w:type="dxa"/>
            <w:vAlign w:val="center"/>
            <w:textDirection w:val="lrTb"/>
            <w:noWrap w:val="false"/>
          </w:tcPr>
          <w:p>
            <w:pPr>
              <w:pStyle w:val="729"/>
              <w:jc w:val="center"/>
              <w:rPr>
                <w:rFonts w:ascii="宋体" w:hAnsi="宋体"/>
                <w:szCs w:val="21"/>
              </w:rPr>
            </w:pPr>
            <w:r>
              <w:rPr>
                <w:rFonts w:hint="eastAsia" w:ascii="宋体" w:hAnsi="宋体"/>
                <w:szCs w:val="21"/>
              </w:rPr>
              <w:t xml:space="preserve">2.1</w:t>
            </w:r>
            <w:r>
              <w:rPr>
                <w:rFonts w:ascii="宋体" w:hAnsi="宋体"/>
                <w:szCs w:val="21"/>
              </w:rPr>
            </w:r>
            <w:r/>
          </w:p>
        </w:tc>
        <w:tc>
          <w:tcPr>
            <w:tcW w:w="5621" w:type="dxa"/>
            <w:vAlign w:val="center"/>
            <w:textDirection w:val="lrTb"/>
            <w:noWrap w:val="false"/>
          </w:tcPr>
          <w:p>
            <w:pPr>
              <w:pStyle w:val="729"/>
              <w:rPr>
                <w:rFonts w:ascii="宋体" w:hAnsi="宋体"/>
                <w:szCs w:val="21"/>
              </w:rPr>
            </w:pPr>
            <w:r>
              <w:rPr>
                <w:rFonts w:hint="eastAsia" w:ascii="宋体" w:hAnsi="宋体"/>
                <w:szCs w:val="21"/>
              </w:rPr>
              <w:t xml:space="preserve">根据投标人编</w:t>
            </w:r>
            <w:r>
              <w:rPr>
                <w:rFonts w:hint="eastAsia" w:ascii="宋体" w:hAnsi="宋体"/>
                <w:szCs w:val="21"/>
              </w:rPr>
              <w:t xml:space="preserve">制的项目实施方案，包括：</w:t>
            </w:r>
            <w:r>
              <w:rPr>
                <w:rFonts w:ascii="宋体" w:hAnsi="宋体"/>
                <w:szCs w:val="21"/>
              </w:rPr>
            </w:r>
            <w:r/>
          </w:p>
          <w:p>
            <w:pPr>
              <w:pStyle w:val="729"/>
              <w:rPr>
                <w:rFonts w:hint="eastAsia" w:ascii="宋体" w:hAnsi="宋体"/>
                <w:szCs w:val="21"/>
              </w:rPr>
            </w:pPr>
            <w:r>
              <w:rPr>
                <w:rFonts w:hint="eastAsia" w:ascii="宋体" w:hAnsi="宋体"/>
                <w:szCs w:val="21"/>
              </w:rPr>
              <w:t xml:space="preserve">（1）货物采购、</w:t>
            </w:r>
            <w:r>
              <w:rPr>
                <w:rFonts w:ascii="宋体" w:hAnsi="宋体"/>
                <w:szCs w:val="21"/>
              </w:rPr>
              <w:t xml:space="preserve">运输、配送措施</w:t>
            </w:r>
            <w:r>
              <w:rPr>
                <w:rFonts w:hint="eastAsia" w:ascii="宋体" w:hAnsi="宋体"/>
                <w:szCs w:val="21"/>
              </w:rPr>
              <w:t xml:space="preserve">（5分）</w:t>
            </w:r>
            <w:r/>
          </w:p>
          <w:p>
            <w:pPr>
              <w:pStyle w:val="729"/>
              <w:rPr>
                <w:rFonts w:ascii="宋体" w:hAnsi="宋体"/>
                <w:szCs w:val="21"/>
              </w:rPr>
            </w:pPr>
            <w:r>
              <w:rPr>
                <w:rFonts w:ascii="宋体" w:hAnsi="宋体"/>
                <w:szCs w:val="21"/>
              </w:rPr>
              <w:t xml:space="preserve">（2）进度</w:t>
            </w:r>
            <w:r>
              <w:rPr>
                <w:rFonts w:hint="eastAsia" w:ascii="宋体" w:hAnsi="宋体"/>
                <w:szCs w:val="21"/>
              </w:rPr>
              <w:t xml:space="preserve">计划</w:t>
            </w:r>
            <w:r>
              <w:rPr>
                <w:rFonts w:ascii="宋体" w:hAnsi="宋体"/>
                <w:szCs w:val="21"/>
              </w:rPr>
              <w:t xml:space="preserve">、质量保障措施</w:t>
            </w:r>
            <w:r>
              <w:rPr>
                <w:rFonts w:hint="eastAsia" w:ascii="宋体" w:hAnsi="宋体"/>
                <w:szCs w:val="21"/>
              </w:rPr>
              <w:t xml:space="preserve">（5分）</w:t>
            </w:r>
            <w:r>
              <w:rPr>
                <w:rFonts w:ascii="宋体" w:hAnsi="宋体"/>
                <w:szCs w:val="21"/>
              </w:rPr>
            </w:r>
            <w:r/>
          </w:p>
          <w:p>
            <w:pPr>
              <w:pStyle w:val="729"/>
              <w:rPr>
                <w:rFonts w:hint="eastAsia" w:ascii="宋体" w:hAnsi="宋体"/>
                <w:szCs w:val="21"/>
              </w:rPr>
            </w:pPr>
            <w:r>
              <w:rPr>
                <w:rFonts w:ascii="宋体" w:hAnsi="宋体"/>
                <w:szCs w:val="21"/>
              </w:rPr>
              <w:t xml:space="preserve">（3）应急措施</w:t>
            </w:r>
            <w:r>
              <w:rPr>
                <w:rFonts w:hint="eastAsia" w:ascii="宋体" w:hAnsi="宋体"/>
                <w:szCs w:val="21"/>
              </w:rPr>
              <w:t xml:space="preserve">（5分）</w:t>
            </w:r>
            <w:r/>
          </w:p>
          <w:p>
            <w:pPr>
              <w:pStyle w:val="729"/>
              <w:rPr>
                <w:rFonts w:hint="eastAsia" w:ascii="宋体" w:hAnsi="宋体"/>
                <w:szCs w:val="21"/>
              </w:rPr>
            </w:pPr>
            <w:r>
              <w:rPr>
                <w:rFonts w:hint="eastAsia" w:ascii="宋体" w:hAnsi="宋体"/>
                <w:szCs w:val="21"/>
              </w:rPr>
              <w:t xml:space="preserve">方案完善详细，措施科学合理，针对性强，操作性强，每项得5分；方案完整，措施合理，针对性一般，操作性一般，每项得3</w:t>
            </w:r>
            <w:r>
              <w:rPr>
                <w:rFonts w:ascii="宋体" w:hAnsi="宋体"/>
                <w:szCs w:val="21"/>
              </w:rPr>
              <w:t xml:space="preserve">分；</w:t>
            </w:r>
            <w:r>
              <w:rPr>
                <w:rFonts w:hint="eastAsia" w:ascii="宋体" w:hAnsi="宋体"/>
                <w:szCs w:val="21"/>
              </w:rPr>
              <w:t xml:space="preserve">方案简单，措施一般，每项得1</w:t>
            </w:r>
            <w:r>
              <w:rPr>
                <w:rFonts w:ascii="宋体" w:hAnsi="宋体"/>
                <w:szCs w:val="21"/>
              </w:rPr>
              <w:t xml:space="preserve">分；</w:t>
            </w:r>
            <w:r>
              <w:rPr>
                <w:rFonts w:hint="eastAsia" w:ascii="宋体" w:hAnsi="宋体"/>
                <w:szCs w:val="21"/>
              </w:rPr>
              <w:t xml:space="preserve">其他不得分。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15</w:t>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1426"/>
        </w:trPr>
        <w:tc>
          <w:tcPr>
            <w:tcW w:w="1001"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2.2</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根据投标企业的售后服务方案、本地化服务能力进行评审：</w:t>
            </w:r>
            <w:r/>
          </w:p>
          <w:p>
            <w:pPr>
              <w:pStyle w:val="729"/>
              <w:rPr>
                <w:rFonts w:hint="eastAsia" w:ascii="宋体" w:hAnsi="宋体"/>
                <w:szCs w:val="21"/>
              </w:rPr>
            </w:pPr>
            <w:r>
              <w:rPr>
                <w:rFonts w:hint="eastAsia" w:ascii="宋体" w:hAnsi="宋体"/>
                <w:szCs w:val="21"/>
              </w:rPr>
              <w:t xml:space="preserve">售后服务机构配置科学合理，维保人员配置齐全、经验丰富，本地化服务能力强，得</w:t>
            </w:r>
            <w:r>
              <w:rPr>
                <w:rFonts w:hint="eastAsia" w:ascii="宋体" w:hAnsi="宋体"/>
                <w:szCs w:val="21"/>
              </w:rPr>
              <w:t xml:space="preserve">4</w:t>
            </w:r>
            <w:r>
              <w:rPr>
                <w:rFonts w:hint="eastAsia" w:ascii="宋体" w:hAnsi="宋体"/>
                <w:szCs w:val="21"/>
              </w:rPr>
              <w:t xml:space="preserve">分；售后服务机构配置合理，维保人员配置合理，本地化服务能力一般，得</w:t>
            </w:r>
            <w:r>
              <w:rPr>
                <w:rFonts w:hint="eastAsia" w:ascii="宋体" w:hAnsi="宋体"/>
                <w:szCs w:val="21"/>
              </w:rPr>
              <w:t xml:space="preserve">2</w:t>
            </w:r>
            <w:r>
              <w:rPr>
                <w:rFonts w:hint="eastAsia" w:ascii="宋体" w:hAnsi="宋体"/>
                <w:szCs w:val="21"/>
              </w:rPr>
              <w:t xml:space="preserve">分；仅提供售后服务机构、人员</w:t>
            </w:r>
            <w:r>
              <w:rPr>
                <w:rFonts w:hint="eastAsia" w:ascii="宋体" w:hAnsi="宋体"/>
                <w:szCs w:val="21"/>
              </w:rPr>
              <w:t xml:space="preserve">的，得1</w:t>
            </w:r>
            <w:r>
              <w:rPr>
                <w:rFonts w:hint="eastAsia" w:ascii="宋体" w:hAnsi="宋体"/>
                <w:szCs w:val="21"/>
              </w:rPr>
              <w:t xml:space="preserve">分；其它不得分。</w:t>
            </w:r>
            <w:r>
              <w:rPr>
                <w:rFonts w:hint="eastAsia" w:ascii="宋体" w:hAnsi="宋体"/>
                <w:szCs w:val="21"/>
              </w:rPr>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4</w:t>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259"/>
        </w:trPr>
        <w:tc>
          <w:tcPr>
            <w:tcW w:w="1001"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2.3</w:t>
            </w:r>
            <w:r/>
          </w:p>
        </w:tc>
        <w:tc>
          <w:tcPr>
            <w:tcW w:w="5621" w:type="dxa"/>
            <w:vAlign w:val="center"/>
            <w:textDirection w:val="lrTb"/>
            <w:noWrap w:val="false"/>
          </w:tcPr>
          <w:p>
            <w:pPr>
              <w:pStyle w:val="729"/>
              <w:ind w:firstLine="420"/>
              <w:rPr>
                <w:rFonts w:ascii="宋体" w:hAnsi="宋体"/>
                <w:szCs w:val="21"/>
              </w:rPr>
            </w:pPr>
            <w:r/>
            <w:bookmarkStart w:id="283" w:name="_Hlk181351863"/>
            <w:r>
              <w:rPr>
                <w:rFonts w:hint="eastAsia" w:ascii="宋体" w:hAnsi="宋体"/>
                <w:szCs w:val="21"/>
              </w:rPr>
              <w:t xml:space="preserve">根据采购文件中采购需求及投标人提供的样品进行综合打分：选用材质、配件和工艺（做工）精细、手感舒适、外观美观评审为优；</w:t>
            </w:r>
            <w:r>
              <w:rPr>
                <w:rFonts w:hint="eastAsia" w:ascii="宋体" w:hAnsi="宋体"/>
                <w:szCs w:val="21"/>
              </w:rPr>
              <w:t xml:space="preserve">选用材质、配件和工艺（做工）</w:t>
            </w:r>
            <w:r>
              <w:rPr>
                <w:rFonts w:hint="eastAsia" w:ascii="宋体" w:hAnsi="宋体"/>
                <w:szCs w:val="21"/>
              </w:rPr>
              <w:t xml:space="preserve">、手感及外观均一般的评审为良；材质、工艺（做工）、手感粗糙的评审为中。</w:t>
            </w:r>
            <w:r>
              <w:rPr>
                <w:rFonts w:ascii="宋体" w:hAnsi="宋体"/>
                <w:szCs w:val="21"/>
              </w:rPr>
            </w:r>
            <w:r/>
          </w:p>
          <w:p>
            <w:pPr>
              <w:pStyle w:val="729"/>
              <w:rPr>
                <w:rFonts w:ascii="宋体" w:hAnsi="宋体"/>
                <w:szCs w:val="21"/>
              </w:rPr>
            </w:pPr>
            <w:r>
              <w:rPr>
                <w:rFonts w:hint="eastAsia" w:ascii="宋体" w:hAnsi="宋体"/>
                <w:szCs w:val="21"/>
              </w:rPr>
              <w:t xml:space="preserve">1、多功能睡袋：优得4分，良得2分，中得1分。 </w:t>
            </w:r>
            <w:r>
              <w:rPr>
                <w:rFonts w:ascii="宋体" w:hAnsi="宋体"/>
                <w:szCs w:val="21"/>
              </w:rPr>
            </w:r>
            <w:r/>
          </w:p>
          <w:p>
            <w:pPr>
              <w:pStyle w:val="729"/>
              <w:rPr>
                <w:rFonts w:hint="eastAsia" w:ascii="宋体" w:hAnsi="宋体"/>
                <w:szCs w:val="21"/>
              </w:rPr>
            </w:pPr>
            <w:r>
              <w:rPr>
                <w:rFonts w:hint="eastAsia" w:ascii="宋体" w:hAnsi="宋体"/>
                <w:szCs w:val="21"/>
              </w:rPr>
              <w:t xml:space="preserve">2、</w:t>
            </w:r>
            <w:r>
              <w:rPr>
                <w:rFonts w:hint="eastAsia" w:ascii="宋体" w:hAnsi="宋体"/>
                <w:szCs w:val="21"/>
              </w:rPr>
              <w:t xml:space="preserve">折叠桌椅（铝合金）</w:t>
            </w:r>
            <w:r>
              <w:rPr>
                <w:rFonts w:hint="eastAsia" w:ascii="宋体" w:hAnsi="宋体"/>
                <w:szCs w:val="21"/>
              </w:rPr>
              <w:t xml:space="preserve">）：优得4分，良得2分，中得1分。 </w:t>
            </w:r>
            <w:r/>
          </w:p>
          <w:p>
            <w:pPr>
              <w:pStyle w:val="729"/>
              <w:rPr>
                <w:rFonts w:hint="eastAsia" w:ascii="宋体" w:hAnsi="宋体"/>
                <w:szCs w:val="21"/>
              </w:rPr>
            </w:pPr>
            <w:r>
              <w:rPr>
                <w:rFonts w:hint="eastAsia" w:ascii="宋体" w:hAnsi="宋体"/>
                <w:szCs w:val="21"/>
              </w:rPr>
              <w:t xml:space="preserve">3、防潮垫：优得2分，良得1分，中得0.5分。</w:t>
            </w:r>
            <w:r/>
          </w:p>
          <w:p>
            <w:pPr>
              <w:pStyle w:val="729"/>
              <w:rPr>
                <w:rFonts w:hint="eastAsia" w:ascii="宋体" w:hAnsi="宋体"/>
                <w:szCs w:val="21"/>
              </w:rPr>
            </w:pPr>
            <w:r>
              <w:rPr>
                <w:rFonts w:hint="eastAsia" w:ascii="宋体" w:hAnsi="宋体"/>
                <w:szCs w:val="21"/>
              </w:rPr>
              <w:t xml:space="preserve">4、棉大衣：优得2分，良得1分，中得0.5分。</w:t>
            </w:r>
            <w:bookmarkEnd w:id="283"/>
            <w:r>
              <w:rPr>
                <w:rFonts w:hint="eastAsia" w:ascii="宋体" w:hAnsi="宋体"/>
                <w:szCs w:val="21"/>
              </w:rPr>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12</w:t>
            </w:r>
            <w:r/>
          </w:p>
        </w:tc>
        <w:tc>
          <w:tcPr>
            <w:tcW w:w="2205" w:type="dxa"/>
            <w:vAlign w:val="center"/>
            <w:textDirection w:val="lrTb"/>
            <w:noWrap w:val="false"/>
          </w:tcPr>
          <w:p>
            <w:pPr>
              <w:pStyle w:val="729"/>
              <w:rPr>
                <w:rFonts w:ascii="宋体" w:hAnsi="宋体"/>
                <w:szCs w:val="21"/>
              </w:rPr>
            </w:pPr>
            <w:r>
              <w:rPr>
                <w:rFonts w:ascii="宋体" w:hAnsi="宋体"/>
                <w:szCs w:val="21"/>
              </w:rPr>
            </w:r>
            <w:r/>
          </w:p>
        </w:tc>
      </w:tr>
      <w:tr>
        <w:trPr>
          <w:trHeight w:val="413"/>
        </w:trPr>
        <w:tc>
          <w:tcPr>
            <w:gridSpan w:val="4"/>
            <w:tcW w:w="9654" w:type="dxa"/>
            <w:vAlign w:val="center"/>
            <w:textDirection w:val="lrTb"/>
            <w:noWrap w:val="false"/>
          </w:tcPr>
          <w:p>
            <w:pPr>
              <w:pStyle w:val="729"/>
              <w:rPr>
                <w:rFonts w:ascii="宋体" w:hAnsi="宋体"/>
                <w:szCs w:val="21"/>
              </w:rPr>
            </w:pPr>
            <w:r>
              <w:rPr>
                <w:rFonts w:hint="eastAsia" w:ascii="宋体" w:hAnsi="宋体"/>
                <w:szCs w:val="21"/>
              </w:rPr>
              <w:t xml:space="preserve">客观分（39分）</w:t>
            </w:r>
            <w:r>
              <w:rPr>
                <w:rFonts w:ascii="宋体" w:hAnsi="宋体"/>
                <w:szCs w:val="21"/>
              </w:rPr>
            </w:r>
            <w:r/>
          </w:p>
        </w:tc>
      </w:tr>
      <w:tr>
        <w:trPr>
          <w:trHeight w:val="802"/>
        </w:trPr>
        <w:tc>
          <w:tcPr>
            <w:tcW w:w="1001"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3.1</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投标人具有有效的质量体系认证证书，环境管理体系认证证书，职业键康管理体系认证证书，每提供一项得1分，最高得3分。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w:t>
            </w:r>
            <w:r/>
          </w:p>
        </w:tc>
        <w:tc>
          <w:tcPr>
            <w:tcW w:w="2205" w:type="dxa"/>
            <w:vAlign w:val="center"/>
            <w:textDirection w:val="lrTb"/>
            <w:noWrap w:val="false"/>
          </w:tcPr>
          <w:p>
            <w:pPr>
              <w:pStyle w:val="729"/>
              <w:rPr>
                <w:rFonts w:hint="eastAsia" w:ascii="宋体" w:hAnsi="宋体"/>
                <w:szCs w:val="21"/>
              </w:rPr>
            </w:pPr>
            <w:r>
              <w:rPr>
                <w:rFonts w:hint="eastAsia" w:ascii="宋体" w:hAnsi="宋体"/>
                <w:szCs w:val="21"/>
              </w:rPr>
              <w:t xml:space="preserve">提供证书【须在国家认监委官网最新查询状态为“有效”】</w:t>
            </w:r>
            <w:r>
              <w:rPr>
                <w:rFonts w:hint="eastAsia" w:ascii="宋体" w:hAnsi="宋体"/>
                <w:szCs w:val="21"/>
              </w:rPr>
            </w:r>
            <w:r/>
          </w:p>
        </w:tc>
      </w:tr>
      <w:tr>
        <w:trPr>
          <w:trHeight w:val="978"/>
        </w:trPr>
        <w:tc>
          <w:tcPr>
            <w:tcW w:w="1001"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3.2</w:t>
            </w:r>
            <w:r/>
          </w:p>
        </w:tc>
        <w:tc>
          <w:tcPr>
            <w:tcW w:w="5621" w:type="dxa"/>
            <w:vAlign w:val="center"/>
            <w:textDirection w:val="lrTb"/>
            <w:noWrap w:val="false"/>
          </w:tcPr>
          <w:p>
            <w:pPr>
              <w:pStyle w:val="729"/>
              <w:rPr>
                <w:rFonts w:hint="eastAsia" w:ascii="宋体" w:hAnsi="宋体"/>
                <w:szCs w:val="21"/>
              </w:rPr>
            </w:pPr>
            <w:r>
              <w:rPr>
                <w:rFonts w:hint="eastAsia" w:ascii="宋体" w:hAnsi="宋体"/>
                <w:szCs w:val="21"/>
              </w:rPr>
              <w:t xml:space="preserve">类似业绩：投标企业自2022年10月以来完成过类似项目业绩成功案例，每提供一个案例得2分，本项最高得分6分。</w:t>
            </w:r>
            <w:r/>
          </w:p>
        </w:tc>
        <w:tc>
          <w:tcPr>
            <w:tcW w:w="827" w:type="dxa"/>
            <w:vAlign w:val="center"/>
            <w:textDirection w:val="lrTb"/>
            <w:noWrap w:val="false"/>
          </w:tcPr>
          <w:p>
            <w:pPr>
              <w:pStyle w:val="729"/>
              <w:jc w:val="center"/>
              <w:rPr>
                <w:rFonts w:ascii="宋体" w:hAnsi="宋体"/>
                <w:szCs w:val="21"/>
              </w:rPr>
            </w:pPr>
            <w:r>
              <w:rPr>
                <w:rFonts w:hint="eastAsia" w:ascii="宋体" w:hAnsi="宋体"/>
                <w:szCs w:val="21"/>
              </w:rPr>
              <w:t xml:space="preserve">6</w:t>
            </w:r>
            <w:r>
              <w:rPr>
                <w:rFonts w:ascii="宋体" w:hAnsi="宋体"/>
                <w:szCs w:val="21"/>
              </w:rPr>
            </w:r>
            <w:r/>
          </w:p>
        </w:tc>
        <w:tc>
          <w:tcPr>
            <w:tcW w:w="2205" w:type="dxa"/>
            <w:vAlign w:val="center"/>
            <w:textDirection w:val="lrTb"/>
            <w:noWrap w:val="false"/>
          </w:tcPr>
          <w:p>
            <w:pPr>
              <w:pStyle w:val="729"/>
              <w:rPr>
                <w:rFonts w:hint="eastAsia" w:ascii="宋体" w:hAnsi="宋体"/>
                <w:szCs w:val="21"/>
              </w:rPr>
            </w:pPr>
            <w:r>
              <w:rPr>
                <w:rFonts w:hint="eastAsia" w:ascii="宋体" w:hAnsi="宋体"/>
                <w:szCs w:val="21"/>
              </w:rPr>
              <w:t xml:space="preserve">同时提供合同、中标或成交通知书、验收单和合同价款部分发票、时间以签订合同时间为准、不提供或提供不全不得分。</w:t>
            </w:r>
            <w:r/>
          </w:p>
        </w:tc>
      </w:tr>
      <w:tr>
        <w:trPr>
          <w:trHeight w:val="1183"/>
        </w:trPr>
        <w:tc>
          <w:tcPr>
            <w:tcW w:w="1001"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3.3</w:t>
            </w:r>
            <w:r/>
          </w:p>
        </w:tc>
        <w:tc>
          <w:tcPr>
            <w:tcW w:w="5621" w:type="dxa"/>
            <w:vAlign w:val="center"/>
            <w:textDirection w:val="lrTb"/>
            <w:noWrap w:val="false"/>
          </w:tcPr>
          <w:p>
            <w:pPr>
              <w:pStyle w:val="729"/>
              <w:rPr>
                <w:rFonts w:ascii="宋体" w:hAnsi="宋体"/>
                <w:szCs w:val="21"/>
              </w:rPr>
            </w:pPr>
            <w:r>
              <w:rPr>
                <w:rFonts w:hint="eastAsia" w:ascii="宋体" w:hAnsi="宋体"/>
                <w:szCs w:val="21"/>
              </w:rPr>
              <w:t xml:space="preserve">投标人提供产品的</w:t>
            </w:r>
            <w:r>
              <w:rPr>
                <w:rFonts w:hint="eastAsia" w:ascii="宋体" w:hAnsi="宋体"/>
                <w:szCs w:val="21"/>
              </w:rPr>
              <w:t xml:space="preserve">品质</w:t>
            </w:r>
            <w:r>
              <w:rPr>
                <w:rFonts w:hint="eastAsia" w:ascii="宋体" w:hAnsi="宋体"/>
                <w:szCs w:val="21"/>
              </w:rPr>
              <w:t xml:space="preserve">：全部符合</w:t>
            </w:r>
            <w:r>
              <w:rPr>
                <w:rFonts w:hint="eastAsia" w:ascii="宋体" w:hAnsi="宋体"/>
                <w:szCs w:val="21"/>
              </w:rPr>
              <w:t xml:space="preserve">参数</w:t>
            </w:r>
            <w:r>
              <w:rPr>
                <w:rFonts w:hint="eastAsia" w:ascii="宋体" w:hAnsi="宋体"/>
                <w:szCs w:val="21"/>
              </w:rPr>
              <w:t xml:space="preserve">要求的得30</w:t>
            </w:r>
            <w:r>
              <w:rPr>
                <w:rFonts w:ascii="宋体" w:hAnsi="宋体"/>
                <w:szCs w:val="21"/>
              </w:rPr>
              <w:t xml:space="preserve">分</w:t>
            </w:r>
            <w:r>
              <w:rPr>
                <w:rFonts w:hint="eastAsia" w:ascii="宋体" w:hAnsi="宋体"/>
                <w:szCs w:val="21"/>
              </w:rPr>
              <w:t xml:space="preserve">；</w:t>
            </w:r>
            <w:r>
              <w:rPr>
                <w:rFonts w:ascii="宋体" w:hAnsi="宋体"/>
                <w:szCs w:val="21"/>
              </w:rPr>
              <w:t xml:space="preserve">标注</w:t>
            </w:r>
            <w:r>
              <w:rPr>
                <w:rFonts w:hint="eastAsia" w:ascii="宋体" w:hAnsi="宋体"/>
                <w:szCs w:val="21"/>
              </w:rPr>
              <w:t xml:space="preserve">“▲”</w:t>
            </w:r>
            <w:r>
              <w:rPr>
                <w:rFonts w:ascii="宋体" w:hAnsi="宋体"/>
                <w:szCs w:val="21"/>
              </w:rPr>
              <w:t xml:space="preserve">有一项不满足扣</w:t>
            </w:r>
            <w:r>
              <w:rPr>
                <w:rFonts w:hint="eastAsia" w:ascii="宋体" w:hAnsi="宋体"/>
                <w:szCs w:val="21"/>
              </w:rPr>
              <w:t xml:space="preserve">1.5</w:t>
            </w:r>
            <w:r>
              <w:rPr>
                <w:rFonts w:ascii="宋体" w:hAnsi="宋体"/>
                <w:szCs w:val="21"/>
              </w:rPr>
              <w:t xml:space="preserve">分；未标注</w:t>
            </w:r>
            <w:r>
              <w:rPr>
                <w:rFonts w:hint="eastAsia" w:ascii="宋体" w:hAnsi="宋体"/>
                <w:szCs w:val="21"/>
              </w:rPr>
              <w:t xml:space="preserve">▲的</w:t>
            </w:r>
            <w:r>
              <w:rPr>
                <w:rFonts w:ascii="宋体" w:hAnsi="宋体"/>
                <w:szCs w:val="21"/>
              </w:rPr>
              <w:t xml:space="preserve">有一项不满足扣0.</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。扣完为止</w:t>
            </w:r>
            <w:r>
              <w:rPr>
                <w:rFonts w:hint="eastAsia" w:ascii="宋体" w:hAnsi="宋体"/>
                <w:szCs w:val="21"/>
              </w:rPr>
              <w:t xml:space="preserve">。</w:t>
            </w:r>
            <w:r>
              <w:rPr>
                <w:rFonts w:ascii="宋体" w:hAnsi="宋体"/>
                <w:szCs w:val="21"/>
              </w:rPr>
            </w:r>
            <w:r/>
          </w:p>
          <w:p>
            <w:pPr>
              <w:pStyle w:val="729"/>
              <w:rPr>
                <w:rFonts w:hint="eastAsia" w:ascii="宋体" w:hAnsi="宋体"/>
                <w:b/>
                <w:bCs/>
                <w:szCs w:val="21"/>
              </w:rPr>
            </w:pPr>
            <w:r>
              <w:rPr>
                <w:rFonts w:hint="eastAsia" w:ascii="宋体" w:hAnsi="宋体"/>
                <w:b/>
                <w:bCs/>
                <w:szCs w:val="21"/>
              </w:rPr>
              <w:t xml:space="preserve">注：</w:t>
            </w:r>
            <w:r>
              <w:rPr>
                <w:rFonts w:hint="eastAsia" w:ascii="宋体" w:hAnsi="宋体"/>
                <w:b/>
                <w:bCs/>
                <w:szCs w:val="21"/>
              </w:rPr>
              <w:t xml:space="preserve">采购需求中明确要求提供检测报告、相关证书、产品彩页等</w:t>
            </w:r>
            <w:r>
              <w:rPr>
                <w:rFonts w:hint="eastAsia" w:ascii="宋体" w:hAnsi="宋体"/>
                <w:b/>
                <w:bCs/>
                <w:szCs w:val="21"/>
              </w:rPr>
              <w:t xml:space="preserve">证明材料的</w:t>
            </w:r>
            <w:r>
              <w:rPr>
                <w:rFonts w:hint="eastAsia" w:ascii="宋体" w:hAnsi="宋体"/>
                <w:b/>
                <w:bCs/>
                <w:szCs w:val="21"/>
              </w:rPr>
              <w:t xml:space="preserve">，未提供的，评审时不予认可，作为不满足处理。</w:t>
            </w:r>
            <w:r/>
          </w:p>
        </w:tc>
        <w:tc>
          <w:tcPr>
            <w:tcW w:w="827" w:type="dxa"/>
            <w:vAlign w:val="center"/>
            <w:textDirection w:val="lrTb"/>
            <w:noWrap w:val="false"/>
          </w:tcPr>
          <w:p>
            <w:pPr>
              <w:pStyle w:val="729"/>
              <w:jc w:val="center"/>
              <w:rPr>
                <w:rFonts w:hint="eastAsia" w:ascii="宋体" w:hAnsi="宋体"/>
                <w:szCs w:val="21"/>
              </w:rPr>
            </w:pPr>
            <w:r>
              <w:rPr>
                <w:rFonts w:hint="eastAsia" w:ascii="宋体" w:hAnsi="宋体"/>
                <w:szCs w:val="21"/>
              </w:rPr>
              <w:t xml:space="preserve">30</w:t>
            </w:r>
            <w:r/>
          </w:p>
        </w:tc>
        <w:tc>
          <w:tcPr>
            <w:tcW w:w="2205" w:type="dxa"/>
            <w:vAlign w:val="center"/>
            <w:textDirection w:val="lrTb"/>
            <w:noWrap w:val="false"/>
          </w:tcPr>
          <w:p>
            <w:pPr>
              <w:pStyle w:val="729"/>
              <w:rPr>
                <w:rFonts w:hint="eastAsia" w:ascii="宋体" w:hAnsi="宋体"/>
                <w:szCs w:val="21"/>
              </w:rPr>
            </w:pPr>
            <w:r>
              <w:rPr>
                <w:rFonts w:hint="eastAsia" w:ascii="宋体" w:hAnsi="宋体"/>
                <w:szCs w:val="21"/>
              </w:rPr>
            </w:r>
            <w:r/>
          </w:p>
        </w:tc>
      </w:tr>
    </w:tbl>
    <w:p>
      <w:pPr>
        <w:pStyle w:val="729"/>
        <w:ind w:firstLine="482"/>
        <w:spacing w:before="120" w:line="360" w:lineRule="auto"/>
        <w:tabs>
          <w:tab w:val="left" w:pos="360" w:leader="none"/>
        </w:tabs>
        <w:rPr>
          <w:b/>
          <w:bCs/>
          <w:sz w:val="24"/>
        </w:rPr>
        <w:outlineLvl w:val="1"/>
      </w:pPr>
      <w:r/>
      <w:bookmarkEnd w:id="282"/>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中标后，甲方对检测报告的原件进行核实。</w:t>
      </w:r>
      <w:r>
        <w:rPr>
          <w:b/>
          <w:bCs/>
          <w:sz w:val="24"/>
        </w:rPr>
      </w:r>
      <w:r/>
    </w:p>
    <w:p>
      <w:pPr>
        <w:pStyle w:val="729"/>
        <w:ind w:firstLine="482"/>
        <w:spacing w:before="120" w:line="360" w:lineRule="auto"/>
        <w:tabs>
          <w:tab w:val="left" w:pos="360" w:leader="none"/>
        </w:tabs>
        <w:rPr>
          <w:b/>
          <w:bCs/>
          <w:sz w:val="24"/>
        </w:rPr>
        <w:outlineLvl w:val="1"/>
      </w:pPr>
      <w:r>
        <w:rPr>
          <w:b/>
          <w:bCs/>
          <w:sz w:val="24"/>
        </w:rPr>
      </w:r>
      <w:r/>
    </w:p>
    <w:p>
      <w:pPr>
        <w:pStyle w:val="729"/>
        <w:ind w:firstLine="482"/>
        <w:spacing w:before="120" w:line="360" w:lineRule="auto"/>
        <w:tabs>
          <w:tab w:val="left" w:pos="360" w:leader="none"/>
        </w:tabs>
        <w:rPr>
          <w:b/>
          <w:bCs/>
          <w:sz w:val="24"/>
        </w:rPr>
        <w:outlineLvl w:val="1"/>
      </w:pPr>
      <w:r>
        <w:rPr>
          <w:b/>
          <w:bCs/>
          <w:sz w:val="24"/>
        </w:rPr>
      </w:r>
      <w:r/>
    </w:p>
    <w:p>
      <w:pPr>
        <w:pStyle w:val="729"/>
        <w:ind w:firstLine="482"/>
        <w:spacing w:before="120" w:line="360" w:lineRule="auto"/>
        <w:tabs>
          <w:tab w:val="left" w:pos="360" w:leader="none"/>
        </w:tabs>
        <w:rPr>
          <w:b/>
          <w:bCs/>
          <w:sz w:val="24"/>
        </w:rPr>
        <w:outlineLvl w:val="1"/>
      </w:pPr>
      <w:r>
        <w:rPr>
          <w:b/>
          <w:bCs/>
          <w:sz w:val="24"/>
        </w:rPr>
      </w:r>
      <w:r/>
    </w:p>
    <w:p>
      <w:pPr>
        <w:pStyle w:val="729"/>
        <w:jc w:val="center"/>
        <w:spacing w:before="120" w:line="360" w:lineRule="auto"/>
        <w:tabs>
          <w:tab w:val="left" w:pos="360" w:leader="none"/>
        </w:tabs>
        <w:rPr>
          <w:b/>
          <w:sz w:val="36"/>
          <w:szCs w:val="36"/>
        </w:rPr>
        <w:sectPr>
          <w:footerReference w:type="default" r:id="rId11"/>
          <w:footerReference w:type="even" r:id="rId12"/>
          <w:footnotePr/>
          <w:endnotePr/>
          <w:type w:val="nextPage"/>
          <w:pgSz w:w="11906" w:h="16838" w:orient="portrait"/>
          <w:pgMar w:top="1276" w:right="1134" w:bottom="1276" w:left="1134" w:header="851" w:footer="851" w:gutter="0"/>
          <w:cols w:num="1" w:sep="0" w:space="720" w:equalWidth="1"/>
          <w:docGrid w:linePitch="360"/>
        </w:sectPr>
        <w:outlineLvl w:val="1"/>
      </w:pPr>
      <w:r/>
      <w:bookmarkEnd w:id="243"/>
      <w:r/>
      <w:bookmarkEnd w:id="244"/>
      <w:r>
        <w:rPr>
          <w:b/>
          <w:sz w:val="36"/>
          <w:szCs w:val="36"/>
        </w:rPr>
      </w:r>
      <w:r/>
    </w:p>
    <w:p>
      <w:pPr>
        <w:pStyle w:val="729"/>
        <w:jc w:val="center"/>
        <w:spacing w:before="120" w:line="360" w:lineRule="auto"/>
        <w:tabs>
          <w:tab w:val="left" w:pos="360" w:leader="none"/>
        </w:tabs>
        <w:rPr>
          <w:sz w:val="24"/>
        </w:rPr>
        <w:outlineLvl w:val="1"/>
      </w:pPr>
      <w:r>
        <w:rPr>
          <w:b/>
          <w:sz w:val="36"/>
          <w:szCs w:val="36"/>
        </w:rPr>
        <w:t xml:space="preserve">第五章   </w:t>
      </w:r>
      <w:bookmarkStart w:id="284" w:name="_Hlk155016395"/>
      <w:r>
        <w:rPr>
          <w:b/>
          <w:sz w:val="36"/>
          <w:szCs w:val="36"/>
        </w:rPr>
        <w:t xml:space="preserve">采购需求</w:t>
      </w:r>
      <w:bookmarkEnd w:id="87"/>
      <w:r>
        <w:rPr>
          <w:sz w:val="24"/>
        </w:rPr>
      </w:r>
      <w:r/>
    </w:p>
    <w:p>
      <w:pPr>
        <w:pStyle w:val="729"/>
        <w:ind w:firstLine="480"/>
        <w:spacing w:line="360" w:lineRule="auto"/>
        <w:tabs>
          <w:tab w:val="left" w:pos="360" w:leader="none"/>
        </w:tabs>
        <w:rPr>
          <w:sz w:val="24"/>
        </w:rPr>
        <w:outlineLvl w:val="1"/>
      </w:pPr>
      <w:r/>
      <w:bookmarkEnd w:id="284"/>
      <w:r/>
      <w:bookmarkStart w:id="285" w:name="_Toc99301425"/>
      <w:r/>
      <w:bookmarkStart w:id="286" w:name="_Toc99301426"/>
      <w:r>
        <w:rPr>
          <w:rFonts w:hint="eastAsia"/>
          <w:sz w:val="24"/>
        </w:rPr>
        <w:t xml:space="preserve">一、采购标的</w:t>
      </w:r>
      <w:r>
        <w:rPr>
          <w:sz w:val="24"/>
        </w:rPr>
      </w:r>
      <w:r/>
    </w:p>
    <w:p>
      <w:pPr>
        <w:pStyle w:val="729"/>
        <w:ind w:firstLine="480"/>
        <w:spacing w:line="360" w:lineRule="auto"/>
        <w:tabs>
          <w:tab w:val="left" w:pos="360" w:leader="none"/>
        </w:tabs>
        <w:rPr>
          <w:sz w:val="24"/>
        </w:rPr>
        <w:outlineLvl w:val="1"/>
      </w:pPr>
      <w:r>
        <w:rPr>
          <w:rFonts w:hint="eastAsia"/>
          <w:sz w:val="24"/>
        </w:rPr>
        <w:t xml:space="preserve">1、项目概况</w:t>
      </w:r>
      <w:r>
        <w:rPr>
          <w:sz w:val="24"/>
        </w:rPr>
      </w:r>
      <w:r/>
    </w:p>
    <w:p>
      <w:pPr>
        <w:pStyle w:val="729"/>
        <w:ind w:firstLine="960"/>
        <w:spacing w:line="360" w:lineRule="auto"/>
        <w:tabs>
          <w:tab w:val="left" w:pos="360" w:leader="none"/>
        </w:tabs>
        <w:rPr>
          <w:sz w:val="24"/>
        </w:rPr>
        <w:outlineLvl w:val="1"/>
      </w:pPr>
      <w:r>
        <w:rPr>
          <w:rFonts w:hint="eastAsia"/>
          <w:sz w:val="24"/>
        </w:rPr>
        <w:t xml:space="preserve">常州市武进区发展和改革局应急物资的采购、供货、售后服务等内容。</w:t>
      </w:r>
      <w:r>
        <w:rPr>
          <w:sz w:val="24"/>
        </w:rPr>
      </w:r>
      <w:r/>
    </w:p>
    <w:p>
      <w:pPr>
        <w:pStyle w:val="729"/>
        <w:ind w:firstLine="480"/>
        <w:spacing w:line="360" w:lineRule="auto"/>
        <w:tabs>
          <w:tab w:val="left" w:pos="360" w:leader="none"/>
        </w:tabs>
        <w:rPr>
          <w:sz w:val="24"/>
        </w:rPr>
        <w:outlineLvl w:val="1"/>
      </w:pPr>
      <w:r>
        <w:rPr>
          <w:rFonts w:hint="eastAsia"/>
          <w:sz w:val="24"/>
        </w:rPr>
        <w:t xml:space="preserve">2、采购标的</w:t>
      </w:r>
      <w:r>
        <w:rPr>
          <w:sz w:val="24"/>
        </w:rPr>
      </w:r>
      <w:r/>
    </w:p>
    <w:p>
      <w:pPr>
        <w:pStyle w:val="729"/>
        <w:ind w:firstLine="960"/>
        <w:spacing w:line="360" w:lineRule="auto"/>
        <w:tabs>
          <w:tab w:val="left" w:pos="360" w:leader="none"/>
        </w:tabs>
        <w:rPr>
          <w:rFonts w:hint="eastAsia"/>
          <w:sz w:val="24"/>
        </w:rPr>
        <w:outlineLvl w:val="1"/>
      </w:pPr>
      <w:r>
        <w:rPr>
          <w:rFonts w:hint="eastAsia"/>
          <w:sz w:val="24"/>
        </w:rPr>
        <w:t xml:space="preserve">详见采购清单</w:t>
      </w:r>
      <w:r/>
    </w:p>
    <w:p>
      <w:pPr>
        <w:pStyle w:val="729"/>
        <w:ind w:firstLine="480"/>
        <w:spacing w:line="360" w:lineRule="auto"/>
        <w:tabs>
          <w:tab w:val="left" w:pos="360" w:leader="none"/>
        </w:tabs>
        <w:rPr>
          <w:sz w:val="24"/>
        </w:rPr>
        <w:outlineLvl w:val="1"/>
      </w:pPr>
      <w:r>
        <w:rPr>
          <w:rFonts w:hint="eastAsia"/>
          <w:sz w:val="24"/>
        </w:rPr>
        <w:t xml:space="preserve">★二、商务要求</w:t>
      </w:r>
      <w:r>
        <w:rPr>
          <w:sz w:val="24"/>
        </w:rPr>
      </w:r>
      <w:r/>
    </w:p>
    <w:p>
      <w:pPr>
        <w:pStyle w:val="729"/>
        <w:ind w:firstLine="480"/>
        <w:spacing w:line="360" w:lineRule="auto"/>
        <w:tabs>
          <w:tab w:val="left" w:pos="360" w:leader="none"/>
        </w:tabs>
        <w:rPr>
          <w:sz w:val="24"/>
        </w:rPr>
        <w:outlineLvl w:val="1"/>
      </w:pPr>
      <w:r>
        <w:rPr>
          <w:rFonts w:hint="eastAsia"/>
          <w:sz w:val="24"/>
        </w:rPr>
        <w:t xml:space="preserve">1、供货地点：武进区。</w:t>
      </w:r>
      <w:r>
        <w:rPr>
          <w:sz w:val="24"/>
        </w:rPr>
      </w:r>
      <w:r/>
    </w:p>
    <w:p>
      <w:pPr>
        <w:pStyle w:val="729"/>
        <w:ind w:firstLine="480"/>
        <w:spacing w:line="360" w:lineRule="auto"/>
        <w:tabs>
          <w:tab w:val="left" w:pos="360" w:leader="none"/>
        </w:tabs>
        <w:rPr>
          <w:sz w:val="24"/>
        </w:rPr>
        <w:outlineLvl w:val="1"/>
      </w:pPr>
      <w:r>
        <w:rPr>
          <w:rFonts w:hint="eastAsia"/>
          <w:sz w:val="24"/>
        </w:rPr>
        <w:t xml:space="preserve">2、供货期限：合同签订后10天内送至采购人指定地点，并入库到位至验收合格。</w:t>
      </w:r>
      <w:r>
        <w:rPr>
          <w:sz w:val="24"/>
        </w:rPr>
      </w:r>
      <w:r/>
    </w:p>
    <w:p>
      <w:pPr>
        <w:pStyle w:val="729"/>
        <w:ind w:firstLine="480"/>
        <w:spacing w:line="360" w:lineRule="auto"/>
        <w:tabs>
          <w:tab w:val="left" w:pos="360" w:leader="none"/>
        </w:tabs>
        <w:rPr>
          <w:rFonts w:hint="eastAsia"/>
          <w:sz w:val="24"/>
        </w:rPr>
        <w:outlineLvl w:val="1"/>
      </w:pPr>
      <w:r>
        <w:rPr>
          <w:rFonts w:hint="eastAsia"/>
          <w:sz w:val="24"/>
        </w:rPr>
        <w:t xml:space="preserve">3、质保及售后服务要求</w:t>
      </w:r>
      <w:r/>
    </w:p>
    <w:p>
      <w:pPr>
        <w:pStyle w:val="729"/>
        <w:ind w:firstLine="480"/>
        <w:spacing w:line="360" w:lineRule="auto"/>
        <w:tabs>
          <w:tab w:val="left" w:pos="360" w:leader="none"/>
        </w:tabs>
        <w:rPr>
          <w:rFonts w:hint="eastAsia"/>
          <w:sz w:val="24"/>
        </w:rPr>
        <w:outlineLvl w:val="1"/>
      </w:pPr>
      <w:r>
        <w:rPr>
          <w:rFonts w:hint="eastAsia"/>
          <w:sz w:val="24"/>
        </w:rPr>
        <w:t xml:space="preserve">（1）质保期不少于1年，由货物安装验收合格后开始计算。若相关规定质保期大于1年的，按规定执行。质保期内的日常维护及保养工作免费。中标人须委派指定的技术人员定期进行维护保养，委派的专业人员名单必须报采购人审批，采购人认为不合格的，中标人应及时给予更换。质保期满后，投标供应商对易损部件优先、优惠，以成本价供应，并提</w:t>
      </w:r>
      <w:r>
        <w:rPr>
          <w:rFonts w:hint="eastAsia"/>
          <w:sz w:val="24"/>
        </w:rPr>
        <w:t xml:space="preserve">供终身服务。</w:t>
      </w:r>
      <w:r/>
    </w:p>
    <w:p>
      <w:pPr>
        <w:pStyle w:val="729"/>
        <w:ind w:firstLine="480"/>
        <w:spacing w:line="360" w:lineRule="auto"/>
        <w:tabs>
          <w:tab w:val="left" w:pos="360" w:leader="none"/>
        </w:tabs>
        <w:rPr>
          <w:rFonts w:hint="eastAsia"/>
          <w:sz w:val="24"/>
        </w:rPr>
        <w:outlineLvl w:val="1"/>
      </w:pPr>
      <w:r>
        <w:rPr>
          <w:rFonts w:hint="eastAsia"/>
          <w:sz w:val="24"/>
        </w:rPr>
        <w:t xml:space="preserve">（2）所有货物在使用期限内由于其本身的缺陷或质量问题造成的任何故障或损坏，不管是否在质保期内，中标人必须及时维修或更换，一切费用由中标人承担。</w:t>
      </w:r>
      <w:r/>
    </w:p>
    <w:p>
      <w:pPr>
        <w:pStyle w:val="729"/>
        <w:ind w:firstLine="480"/>
        <w:spacing w:line="360" w:lineRule="auto"/>
        <w:tabs>
          <w:tab w:val="left" w:pos="360" w:leader="none"/>
        </w:tabs>
        <w:rPr>
          <w:rFonts w:hint="eastAsia"/>
          <w:sz w:val="24"/>
        </w:rPr>
        <w:outlineLvl w:val="1"/>
      </w:pPr>
      <w:r>
        <w:rPr>
          <w:rFonts w:hint="eastAsia"/>
          <w:sz w:val="24"/>
        </w:rPr>
        <w:t xml:space="preserve">（3）在质保期内，因投标供应商所供货物制造质量问题出现故障时，投标供应商在接到采购人通知后1小时内响应，3小时内赶到采购人项目现场，免费予以排除故障、修复或更换零部件；在质保期内，因采购人使用不当原因出现故障时，投标供应商在接到采购人通知后，应在上述的时限内赶到采购人现场，帮助排除故障、修复或更换零部件，需更换零部件时，酌情收取成本费；</w:t>
      </w:r>
      <w:r/>
    </w:p>
    <w:p>
      <w:pPr>
        <w:pStyle w:val="729"/>
        <w:ind w:firstLine="480"/>
        <w:spacing w:line="360" w:lineRule="auto"/>
        <w:tabs>
          <w:tab w:val="left" w:pos="360" w:leader="none"/>
        </w:tabs>
        <w:rPr>
          <w:sz w:val="24"/>
        </w:rPr>
        <w:outlineLvl w:val="1"/>
      </w:pPr>
      <w:r>
        <w:rPr>
          <w:rFonts w:hint="eastAsia"/>
          <w:sz w:val="24"/>
        </w:rPr>
        <w:t xml:space="preserve">（4）在质保期满后，货物出现</w:t>
      </w:r>
      <w:r>
        <w:rPr>
          <w:rFonts w:hint="eastAsia"/>
          <w:sz w:val="24"/>
        </w:rPr>
        <w:t xml:space="preserve">故障时，中标人仍需做好售后服务，并在上述时限内赶到现场，及时处理解决。</w:t>
      </w:r>
      <w:r>
        <w:rPr>
          <w:sz w:val="24"/>
        </w:rPr>
      </w:r>
      <w:r/>
    </w:p>
    <w:p>
      <w:pPr>
        <w:pStyle w:val="729"/>
        <w:ind w:firstLine="480"/>
        <w:spacing w:line="360" w:lineRule="auto"/>
        <w:tabs>
          <w:tab w:val="left" w:pos="360" w:leader="none"/>
        </w:tabs>
        <w:rPr>
          <w:rFonts w:hint="eastAsia"/>
          <w:sz w:val="24"/>
        </w:rPr>
        <w:outlineLvl w:val="1"/>
      </w:pPr>
      <w:r>
        <w:rPr>
          <w:rFonts w:hint="eastAsia"/>
          <w:sz w:val="24"/>
        </w:rPr>
        <w:t xml:space="preserve">（5）安排专业技术人员对使用人员进行培训</w:t>
      </w:r>
      <w:r>
        <w:rPr>
          <w:rFonts w:hint="eastAsia"/>
          <w:sz w:val="24"/>
        </w:rPr>
        <w:t xml:space="preserve">，保证人员能</w:t>
      </w:r>
      <w:r>
        <w:rPr>
          <w:rFonts w:hint="eastAsia"/>
          <w:sz w:val="24"/>
        </w:rPr>
        <w:t xml:space="preserve">独立</w:t>
      </w:r>
      <w:r>
        <w:rPr>
          <w:rFonts w:hint="eastAsia"/>
          <w:sz w:val="24"/>
        </w:rPr>
        <w:t xml:space="preserve">熟练操作及正常维护</w:t>
      </w:r>
      <w:r>
        <w:rPr>
          <w:rFonts w:hint="eastAsia"/>
          <w:sz w:val="24"/>
        </w:rPr>
        <w:t xml:space="preserve">相关</w:t>
      </w:r>
      <w:r>
        <w:rPr>
          <w:rFonts w:hint="eastAsia"/>
          <w:sz w:val="24"/>
        </w:rPr>
        <w:t xml:space="preserve">设备</w:t>
      </w:r>
      <w:r>
        <w:rPr>
          <w:rFonts w:hint="eastAsia"/>
          <w:sz w:val="24"/>
        </w:rPr>
        <w:t xml:space="preserve">。</w:t>
      </w:r>
      <w:r/>
    </w:p>
    <w:p>
      <w:pPr>
        <w:pStyle w:val="729"/>
        <w:ind w:firstLine="480"/>
        <w:spacing w:line="360" w:lineRule="auto"/>
        <w:tabs>
          <w:tab w:val="left" w:pos="360" w:leader="none"/>
        </w:tabs>
        <w:rPr>
          <w:sz w:val="24"/>
        </w:rPr>
        <w:outlineLvl w:val="1"/>
      </w:pPr>
      <w:r>
        <w:rPr>
          <w:rFonts w:hint="eastAsia"/>
          <w:sz w:val="24"/>
        </w:rPr>
        <w:t xml:space="preserve">4、验收</w:t>
      </w:r>
      <w:r>
        <w:rPr>
          <w:sz w:val="24"/>
        </w:rPr>
      </w:r>
      <w:r/>
    </w:p>
    <w:p>
      <w:pPr>
        <w:pStyle w:val="729"/>
        <w:ind w:firstLine="480"/>
        <w:spacing w:line="360" w:lineRule="auto"/>
        <w:tabs>
          <w:tab w:val="left" w:pos="360" w:leader="none"/>
        </w:tabs>
        <w:rPr>
          <w:rFonts w:hint="eastAsia"/>
          <w:sz w:val="24"/>
        </w:rPr>
        <w:outlineLvl w:val="1"/>
      </w:pPr>
      <w:r>
        <w:rPr>
          <w:rFonts w:hint="eastAsia"/>
          <w:sz w:val="24"/>
        </w:rPr>
        <w:t xml:space="preserve">（1）中标人在交货时，需向采购人提供装箱清单和检验合格证。</w:t>
      </w:r>
      <w:r/>
    </w:p>
    <w:p>
      <w:pPr>
        <w:pStyle w:val="729"/>
        <w:ind w:firstLine="480"/>
        <w:spacing w:line="360" w:lineRule="auto"/>
        <w:tabs>
          <w:tab w:val="left" w:pos="360" w:leader="none"/>
        </w:tabs>
        <w:rPr>
          <w:rFonts w:hint="eastAsia"/>
          <w:sz w:val="24"/>
        </w:rPr>
        <w:outlineLvl w:val="1"/>
      </w:pPr>
      <w:r>
        <w:rPr>
          <w:rFonts w:hint="eastAsia"/>
          <w:sz w:val="24"/>
        </w:rPr>
        <w:t xml:space="preserve">（2）投标产品如检测不符合国家相应标准或招标文件中设定的标准，将判定不合格，同时中标人必须承担由此给采购人造成的损失。</w:t>
      </w:r>
      <w:r/>
    </w:p>
    <w:p>
      <w:pPr>
        <w:pStyle w:val="729"/>
        <w:ind w:firstLine="480"/>
        <w:spacing w:line="360" w:lineRule="auto"/>
        <w:tabs>
          <w:tab w:val="left" w:pos="360" w:leader="none"/>
        </w:tabs>
        <w:rPr>
          <w:sz w:val="24"/>
        </w:rPr>
        <w:outlineLvl w:val="1"/>
      </w:pPr>
      <w:r>
        <w:rPr>
          <w:rFonts w:hint="eastAsia"/>
          <w:sz w:val="24"/>
        </w:rPr>
        <w:t xml:space="preserve">（3）对货物验收不合格时，中标人应予以免费调换，直至符合规定，采购人不承担因调退货而发生的任何费用和责任，如因货物质量给采购人带来的损失，中标人还应赔</w:t>
      </w:r>
      <w:r>
        <w:rPr>
          <w:rFonts w:hint="eastAsia"/>
          <w:sz w:val="24"/>
        </w:rPr>
        <w:t xml:space="preserve">偿采购人直接损失费用。</w:t>
      </w:r>
      <w:r>
        <w:rPr>
          <w:sz w:val="24"/>
        </w:rPr>
      </w:r>
      <w:r/>
    </w:p>
    <w:p>
      <w:pPr>
        <w:pStyle w:val="729"/>
        <w:ind w:firstLine="480"/>
        <w:spacing w:line="360" w:lineRule="auto"/>
        <w:tabs>
          <w:tab w:val="left" w:pos="360" w:leader="none"/>
        </w:tabs>
        <w:rPr>
          <w:rFonts w:hint="eastAsia"/>
          <w:sz w:val="24"/>
        </w:rPr>
        <w:outlineLvl w:val="1"/>
      </w:pPr>
      <w:r>
        <w:rPr>
          <w:rFonts w:hint="eastAsia"/>
          <w:sz w:val="24"/>
        </w:rPr>
        <w:t xml:space="preserve">5、质量要求：</w:t>
      </w:r>
      <w:r/>
    </w:p>
    <w:p>
      <w:pPr>
        <w:pStyle w:val="729"/>
        <w:ind w:firstLine="480"/>
        <w:spacing w:line="360" w:lineRule="auto"/>
        <w:tabs>
          <w:tab w:val="left" w:pos="360" w:leader="none"/>
        </w:tabs>
        <w:rPr>
          <w:rFonts w:hint="eastAsia"/>
          <w:sz w:val="24"/>
        </w:rPr>
        <w:outlineLvl w:val="1"/>
      </w:pPr>
      <w:r>
        <w:rPr>
          <w:rFonts w:hint="eastAsia"/>
          <w:sz w:val="24"/>
        </w:rPr>
        <w:t xml:space="preserve">（1）所有货物的生产、制造、安装等，各项技术标准应当符合国家强制性标准和规范要求。</w:t>
      </w:r>
      <w:r/>
    </w:p>
    <w:p>
      <w:pPr>
        <w:pStyle w:val="729"/>
        <w:ind w:firstLine="480"/>
        <w:spacing w:line="360" w:lineRule="auto"/>
        <w:tabs>
          <w:tab w:val="left" w:pos="360" w:leader="none"/>
        </w:tabs>
        <w:rPr>
          <w:rFonts w:hint="eastAsia"/>
          <w:sz w:val="24"/>
        </w:rPr>
        <w:outlineLvl w:val="1"/>
      </w:pPr>
      <w:r>
        <w:rPr>
          <w:rFonts w:hint="eastAsia"/>
          <w:sz w:val="24"/>
        </w:rPr>
        <w:t xml:space="preserve">（2）质量保证：投标产品的所有部件是全新的、未使用过的，完全符合采购规定的质量、规格和性能的要求，投标人应保证其提供的货物在正确安装、正常使用和保养条件下，在规定的使用寿命期内具有满意的性能。</w:t>
      </w:r>
      <w:r/>
    </w:p>
    <w:p>
      <w:pPr>
        <w:pStyle w:val="729"/>
        <w:ind w:firstLine="480"/>
        <w:spacing w:line="360" w:lineRule="auto"/>
        <w:tabs>
          <w:tab w:val="left" w:pos="360" w:leader="none"/>
        </w:tabs>
        <w:rPr>
          <w:sz w:val="24"/>
        </w:rPr>
        <w:outlineLvl w:val="1"/>
      </w:pPr>
      <w:r>
        <w:rPr>
          <w:rFonts w:hint="eastAsia"/>
          <w:sz w:val="24"/>
        </w:rPr>
        <w:t xml:space="preserve">（3）环保标准需达到国家最新标准。</w:t>
      </w:r>
      <w:r>
        <w:rPr>
          <w:sz w:val="24"/>
        </w:rPr>
      </w:r>
      <w:r/>
    </w:p>
    <w:p>
      <w:pPr>
        <w:pStyle w:val="729"/>
        <w:ind w:firstLine="720"/>
        <w:spacing w:line="360" w:lineRule="auto"/>
        <w:tabs>
          <w:tab w:val="left" w:pos="360" w:leader="none"/>
        </w:tabs>
        <w:rPr>
          <w:rFonts w:hint="eastAsia"/>
          <w:sz w:val="24"/>
          <w:highlight w:val="yellow"/>
        </w:rPr>
        <w:outlineLvl w:val="1"/>
      </w:pPr>
      <w:r>
        <w:rPr>
          <w:rFonts w:hint="eastAsia"/>
          <w:sz w:val="24"/>
        </w:rPr>
        <w:t xml:space="preserve">6、付款：按照合同约定，</w:t>
      </w:r>
      <w:r>
        <w:rPr>
          <w:sz w:val="24"/>
        </w:rPr>
        <w:t xml:space="preserve">货到安装并验收合格后30日内结</w:t>
      </w:r>
      <w:r>
        <w:rPr>
          <w:rFonts w:hint="eastAsia"/>
          <w:sz w:val="24"/>
        </w:rPr>
        <w:t xml:space="preserve">清全部货款</w:t>
      </w:r>
      <w:r>
        <w:rPr>
          <w:sz w:val="24"/>
        </w:rPr>
        <w:t xml:space="preserve">。</w:t>
      </w:r>
      <w:r>
        <w:rPr>
          <w:rFonts w:hint="eastAsia"/>
          <w:sz w:val="24"/>
          <w:highlight w:val="yellow"/>
        </w:rPr>
      </w:r>
      <w:r/>
    </w:p>
    <w:p>
      <w:pPr>
        <w:pStyle w:val="729"/>
        <w:ind w:firstLine="480"/>
        <w:spacing w:line="360" w:lineRule="auto"/>
        <w:tabs>
          <w:tab w:val="left" w:pos="360" w:leader="none"/>
        </w:tabs>
        <w:rPr>
          <w:sz w:val="24"/>
        </w:rPr>
        <w:outlineLvl w:val="1"/>
      </w:pPr>
      <w:r>
        <w:rPr>
          <w:rFonts w:hint="eastAsia"/>
          <w:sz w:val="24"/>
        </w:rPr>
        <w:t xml:space="preserve">二、技术要求</w:t>
      </w:r>
      <w:r>
        <w:rPr>
          <w:sz w:val="24"/>
        </w:rPr>
      </w:r>
      <w:r/>
    </w:p>
    <w:p>
      <w:pPr>
        <w:pStyle w:val="729"/>
        <w:ind w:firstLine="480"/>
        <w:spacing w:line="360" w:lineRule="auto"/>
        <w:tabs>
          <w:tab w:val="left" w:pos="360" w:leader="none"/>
        </w:tabs>
        <w:rPr>
          <w:sz w:val="24"/>
        </w:rPr>
        <w:outlineLvl w:val="1"/>
      </w:pPr>
      <w:r>
        <w:rPr>
          <w:rFonts w:hint="eastAsia"/>
          <w:sz w:val="24"/>
        </w:rPr>
        <w:t xml:space="preserve">详见采购清单</w:t>
      </w:r>
      <w:r>
        <w:rPr>
          <w:sz w:val="24"/>
        </w:rPr>
      </w:r>
      <w:r/>
    </w:p>
    <w:p>
      <w:pPr>
        <w:pStyle w:val="729"/>
        <w:ind w:firstLine="480"/>
        <w:spacing w:line="360" w:lineRule="auto"/>
        <w:tabs>
          <w:tab w:val="left" w:pos="360" w:leader="none"/>
        </w:tabs>
        <w:rPr>
          <w:rFonts w:hint="eastAsia"/>
          <w:sz w:val="24"/>
        </w:rPr>
        <w:outlineLvl w:val="1"/>
      </w:pPr>
      <w:r>
        <w:rPr>
          <w:rFonts w:hint="eastAsia"/>
          <w:sz w:val="24"/>
        </w:rPr>
        <w:t xml:space="preserve">三、其他</w:t>
      </w:r>
      <w:r/>
    </w:p>
    <w:p>
      <w:pPr>
        <w:pStyle w:val="729"/>
        <w:ind w:firstLine="480"/>
        <w:spacing w:line="360" w:lineRule="auto"/>
        <w:tabs>
          <w:tab w:val="left" w:pos="360" w:leader="none"/>
        </w:tabs>
        <w:rPr>
          <w:rFonts w:hint="eastAsia"/>
          <w:sz w:val="24"/>
        </w:rPr>
        <w:outlineLvl w:val="1"/>
      </w:pPr>
      <w:r>
        <w:rPr>
          <w:rFonts w:hint="eastAsia"/>
          <w:sz w:val="24"/>
        </w:rPr>
        <w:t xml:space="preserve">1、货物报价：投标总报价一次报定，包括所投货物及其备品、备件和专用工具费用、税费及包装、运至最终目的地的</w:t>
      </w:r>
      <w:r>
        <w:rPr>
          <w:rFonts w:hint="eastAsia"/>
          <w:sz w:val="24"/>
        </w:rPr>
        <w:t xml:space="preserve">运输、仓储、保险、现场吊装、检测验收、检测费、安装调试、技术支持与培训、售后服务与维保及相关劳务支出等工作所发生的全部费用、企业利润、税金和政策性文件规定以及质保期间的一切费用，但不限于上述费用。</w:t>
      </w:r>
      <w:r/>
    </w:p>
    <w:p>
      <w:pPr>
        <w:pStyle w:val="729"/>
        <w:ind w:firstLine="480"/>
        <w:spacing w:line="360" w:lineRule="auto"/>
        <w:tabs>
          <w:tab w:val="left" w:pos="360" w:leader="none"/>
        </w:tabs>
        <w:rPr>
          <w:sz w:val="24"/>
        </w:rPr>
        <w:outlineLvl w:val="1"/>
      </w:pPr>
      <w:r>
        <w:rPr>
          <w:rFonts w:hint="eastAsia"/>
          <w:sz w:val="24"/>
        </w:rPr>
        <w:t xml:space="preserve">2、本投标文件中的技术要求不得被认为是详尽无遗的，无论规定与否，投标人应提供所有招标文件没有规定但投标人认为完成本项目必要或必须的设备和材料、辅件。</w:t>
      </w:r>
      <w:r>
        <w:rPr>
          <w:sz w:val="24"/>
        </w:rPr>
      </w:r>
      <w:r/>
    </w:p>
    <w:p>
      <w:pPr>
        <w:pStyle w:val="729"/>
        <w:ind w:firstLine="480"/>
        <w:spacing w:line="360" w:lineRule="auto"/>
        <w:tabs>
          <w:tab w:val="left" w:pos="360" w:leader="none"/>
        </w:tabs>
        <w:rPr>
          <w:sz w:val="24"/>
        </w:rPr>
        <w:outlineLvl w:val="1"/>
      </w:pPr>
      <w:r>
        <w:rPr>
          <w:rFonts w:hint="eastAsia"/>
          <w:sz w:val="24"/>
        </w:rPr>
        <w:t xml:space="preserve">3、中标人在实施项目过程中出现的安全事故由中标人自行负责。</w:t>
      </w: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ind w:firstLine="480"/>
        <w:spacing w:line="360" w:lineRule="auto"/>
        <w:tabs>
          <w:tab w:val="left" w:pos="360" w:leader="none"/>
        </w:tabs>
        <w:rPr>
          <w:sz w:val="24"/>
        </w:rPr>
        <w:outlineLvl w:val="1"/>
      </w:pPr>
      <w:r>
        <w:rPr>
          <w:sz w:val="24"/>
        </w:rPr>
      </w:r>
      <w:r/>
    </w:p>
    <w:p>
      <w:pPr>
        <w:pStyle w:val="729"/>
        <w:spacing w:line="360" w:lineRule="auto"/>
        <w:tabs>
          <w:tab w:val="left" w:pos="360" w:leader="none"/>
        </w:tabs>
        <w:rPr>
          <w:rFonts w:hint="eastAsia"/>
          <w:sz w:val="24"/>
        </w:rPr>
        <w:sectPr>
          <w:footnotePr/>
          <w:endnotePr/>
          <w:type w:val="nextPage"/>
          <w:pgSz w:w="11906" w:h="16838" w:orient="portrait"/>
          <w:pgMar w:top="1134" w:right="1134" w:bottom="1276" w:left="1134" w:header="851" w:footer="851" w:gutter="0"/>
          <w:cols w:num="1" w:sep="0" w:space="720" w:equalWidth="1"/>
          <w:docGrid w:linePitch="360"/>
        </w:sectPr>
        <w:outlineLvl w:val="1"/>
      </w:pPr>
      <w:r>
        <w:rPr>
          <w:rFonts w:hint="eastAsia"/>
          <w:sz w:val="24"/>
        </w:rPr>
      </w:r>
      <w:r/>
    </w:p>
    <w:p>
      <w:pPr>
        <w:pStyle w:val="796"/>
        <w:ind w:left="0" w:firstLine="0"/>
        <w:jc w:val="center"/>
        <w:rPr>
          <w:rFonts w:hint="eastAsia"/>
          <w:b/>
          <w:bCs/>
          <w:sz w:val="28"/>
          <w:szCs w:val="28"/>
        </w:rPr>
      </w:pPr>
      <w:r/>
      <w:bookmarkStart w:id="287" w:name="_Hlk179411106"/>
      <w:r>
        <w:rPr>
          <w:rFonts w:hint="eastAsia"/>
          <w:b/>
          <w:bCs/>
          <w:sz w:val="28"/>
          <w:szCs w:val="28"/>
        </w:rPr>
        <w:t xml:space="preserve">武进区2025年应急生活物</w:t>
      </w:r>
      <w:r>
        <w:rPr>
          <w:rFonts w:hint="eastAsia"/>
          <w:b/>
          <w:bCs/>
          <w:sz w:val="28"/>
          <w:szCs w:val="28"/>
        </w:rPr>
        <w:t xml:space="preserve">资和地震地质灾害物资采购清单（01包）</w:t>
      </w:r>
      <w:r>
        <w:rPr>
          <w:rFonts w:hint="eastAsia"/>
          <w:b/>
          <w:bCs/>
          <w:sz w:val="28"/>
          <w:szCs w:val="28"/>
        </w:rPr>
      </w:r>
      <w:r/>
    </w:p>
    <w:tbl>
      <w:tblPr>
        <w:tblW w:w="136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811"/>
        <w:gridCol w:w="952"/>
        <w:gridCol w:w="7338"/>
        <w:gridCol w:w="637"/>
        <w:gridCol w:w="950"/>
        <w:gridCol w:w="1387"/>
      </w:tblGrid>
      <w:tr>
        <w:trPr>
          <w:trHeight w:val="599"/>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序号</w:t>
            </w:r>
            <w:r/>
          </w:p>
        </w:tc>
        <w:tc>
          <w:tcPr>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产品名称</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规格</w:t>
            </w:r>
            <w:r/>
          </w:p>
          <w:p>
            <w:pPr>
              <w:pStyle w:val="729"/>
              <w:jc w:val="center"/>
              <w:rPr>
                <w:rFonts w:hint="eastAsia" w:ascii="楷体" w:hAnsi="楷体" w:eastAsia="楷体" w:cs="楷体"/>
                <w:sz w:val="24"/>
              </w:rPr>
            </w:pPr>
            <w:r>
              <w:rPr>
                <w:rFonts w:hint="eastAsia" w:ascii="楷体" w:hAnsi="楷体" w:eastAsia="楷体" w:cs="楷体"/>
                <w:sz w:val="24"/>
              </w:rPr>
              <w:t xml:space="preserve">尺寸</w:t>
            </w:r>
            <w:r/>
          </w:p>
        </w:tc>
        <w:tc>
          <w:tcPr>
            <w:tcW w:w="7338"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参数要求</w:t>
            </w:r>
            <w:r/>
          </w:p>
        </w:tc>
        <w:tc>
          <w:tcPr>
            <w:tcW w:w="637"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单位</w:t>
            </w:r>
            <w:r/>
          </w:p>
        </w:tc>
        <w:tc>
          <w:tcPr>
            <w:tcW w:w="950"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数量</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备注</w:t>
            </w:r>
            <w:r/>
          </w:p>
        </w:tc>
      </w:tr>
      <w:tr>
        <w:trPr>
          <w:trHeight w:val="90"/>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抢险救援头盔</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主要参数：</w:t>
            </w:r>
            <w:r/>
          </w:p>
          <w:p>
            <w:pPr>
              <w:pStyle w:val="729"/>
              <w:rPr>
                <w:rFonts w:hint="eastAsia" w:ascii="楷体" w:hAnsi="楷体" w:eastAsia="楷体" w:cs="楷体"/>
                <w:b/>
                <w:bCs/>
                <w:sz w:val="24"/>
              </w:rPr>
            </w:pPr>
            <w:r>
              <w:rPr>
                <w:rFonts w:hint="eastAsia" w:ascii="楷体" w:hAnsi="楷体" w:eastAsia="楷体" w:cs="楷体"/>
                <w:sz w:val="24"/>
              </w:rPr>
              <w:t xml:space="preserve">▲1、冲击吸收性能：高温预处理(将头盔置于50℃的温度中保持4h):头模所受冲击力为≤2200N；低温预处理(将头盔置于-28C的温度中保持4h):头模所受冲击力为≤2300N；浸水预处理(将头盔置于水槽中室温中保持4h):头模所受冲击力为≤2200N。</w:t>
            </w:r>
            <w:r>
              <w:rPr>
                <w:rFonts w:hint="eastAsia" w:ascii="楷体" w:hAnsi="楷体" w:eastAsia="楷体" w:cs="楷体"/>
                <w:b/>
                <w:bCs/>
                <w:sz w:val="24"/>
              </w:rPr>
              <w:t xml:space="preserve">（提供符合XF/GA 44-2015《消防头盔》标准CMA检测报告）</w:t>
            </w:r>
            <w:r/>
          </w:p>
          <w:p>
            <w:pPr>
              <w:pStyle w:val="729"/>
              <w:rPr>
                <w:rFonts w:hint="eastAsia" w:ascii="楷体" w:hAnsi="楷体" w:eastAsia="楷体" w:cs="楷体"/>
                <w:sz w:val="24"/>
              </w:rPr>
            </w:pPr>
            <w:r>
              <w:rPr>
                <w:rFonts w:hint="eastAsia" w:ascii="楷体" w:hAnsi="楷体" w:eastAsia="楷体" w:cs="楷体"/>
                <w:sz w:val="24"/>
              </w:rPr>
              <w:t xml:space="preserve">2、阻燃性能：火源离开帽壳后，其离火自熄时间(s):前方:0；后方:0；左侧:0；右侧:0。</w:t>
            </w:r>
            <w:r/>
          </w:p>
          <w:p>
            <w:pPr>
              <w:pStyle w:val="729"/>
              <w:rPr>
                <w:rFonts w:hint="eastAsia" w:ascii="楷体" w:hAnsi="楷体" w:eastAsia="楷体" w:cs="楷体"/>
                <w:sz w:val="24"/>
              </w:rPr>
            </w:pPr>
            <w:r>
              <w:rPr>
                <w:rFonts w:hint="eastAsia" w:ascii="楷体" w:hAnsi="楷体" w:eastAsia="楷体" w:cs="楷体"/>
                <w:sz w:val="24"/>
              </w:rPr>
              <w:t xml:space="preserve">3、侧向刚性：帽壳最大变形≤16mm,卸载后残余变形≤1mm，且帽壳无碎片脱落。</w:t>
            </w:r>
            <w:r/>
          </w:p>
          <w:p>
            <w:pPr>
              <w:pStyle w:val="729"/>
              <w:rPr>
                <w:rFonts w:hint="eastAsia" w:ascii="楷体" w:hAnsi="楷体" w:eastAsia="楷体" w:cs="楷体"/>
                <w:sz w:val="24"/>
              </w:rPr>
            </w:pPr>
            <w:r>
              <w:rPr>
                <w:rFonts w:hint="eastAsia" w:ascii="楷体" w:hAnsi="楷体" w:eastAsia="楷体" w:cs="楷体"/>
                <w:sz w:val="24"/>
              </w:rPr>
              <w:t xml:space="preserve">4、下颏带抗拉强度：下颏带延伸长度≤14mm,没有出现断裂、连接件脱落和搭扣松脱现象。</w:t>
            </w:r>
            <w:r/>
          </w:p>
          <w:p>
            <w:pPr>
              <w:pStyle w:val="729"/>
              <w:rPr>
                <w:rFonts w:hint="eastAsia" w:ascii="楷体" w:hAnsi="楷体" w:eastAsia="楷体" w:cs="楷体"/>
                <w:sz w:val="24"/>
              </w:rPr>
            </w:pPr>
            <w:r>
              <w:rPr>
                <w:rFonts w:hint="eastAsia" w:ascii="楷体" w:hAnsi="楷体" w:eastAsia="楷体" w:cs="楷体"/>
                <w:sz w:val="24"/>
              </w:rPr>
              <w:t xml:space="preserve">5、耐穿透性能：低温预处理(将头盔置于-28℃的温度中保持4h):钢椎未与头模建立电接触。</w:t>
            </w:r>
            <w:r/>
          </w:p>
          <w:p>
            <w:pPr>
              <w:pStyle w:val="729"/>
              <w:rPr>
                <w:rFonts w:hint="eastAsia" w:ascii="楷体" w:hAnsi="楷体" w:eastAsia="楷体" w:cs="楷体"/>
                <w:sz w:val="24"/>
              </w:rPr>
            </w:pPr>
            <w:r>
              <w:rPr>
                <w:rFonts w:hint="eastAsia" w:ascii="楷体" w:hAnsi="楷体" w:eastAsia="楷体" w:cs="楷体"/>
                <w:sz w:val="24"/>
              </w:rPr>
              <w:t xml:space="preserve">6、热稳定性能：救援头盔在180C的烘箱中，保持5min后，其边沿无变形:硬质附件保持功能完好:反光材料表面无炭化、脱落现象。</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顶</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90"/>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夏款抢险救援服</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小、中、大</w:t>
            </w:r>
            <w:r/>
          </w:p>
        </w:tc>
        <w:tc>
          <w:tcPr>
            <w:tcW w:w="7338" w:type="dxa"/>
            <w:vAlign w:val="center"/>
            <w:textDirection w:val="lrTb"/>
            <w:noWrap w:val="false"/>
          </w:tcPr>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1、热稳定性（橙色）：尺寸变化率（%）＜</w:t>
            </w:r>
            <w:r>
              <w:rPr>
                <w:rFonts w:hint="eastAsia" w:ascii="楷体" w:hAnsi="楷体" w:eastAsia="楷体" w:cs="楷体"/>
                <w:sz w:val="24"/>
              </w:rPr>
              <w:t xml:space="preserve">1，经180℃、5min热稳定性能试验后，试样表面无明显变化；</w:t>
            </w:r>
            <w:r/>
          </w:p>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2、表面抗湿性能/级：沾水等级4-5；</w:t>
            </w:r>
            <w:r/>
          </w:p>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3、断裂强力：经向≥950N，纬向≥800N；撕破强力：≥140N；阻燃性能（橙色）：续燃时间（s）：≤1；损毁长度(mm)：≤75；熔融、滴落：无；接缝断裂强力（火焰蓝）：≥820N；</w:t>
            </w:r>
            <w:r/>
          </w:p>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4、救援服针距密度：明暗线≥12、包缝线≥12、</w:t>
            </w:r>
            <w:r>
              <w:rPr>
                <w:rFonts w:hint="eastAsia" w:ascii="楷体" w:hAnsi="楷体" w:eastAsia="楷体" w:cs="楷体"/>
                <w:color w:val="000000"/>
                <w:sz w:val="24"/>
              </w:rPr>
              <w:t xml:space="preserve">色差/级：3-4；</w:t>
            </w:r>
            <w:r>
              <w:rPr>
                <w:rFonts w:hint="eastAsia" w:ascii="楷体" w:hAnsi="楷体" w:eastAsia="楷体" w:cs="楷体"/>
                <w:sz w:val="24"/>
              </w:rPr>
            </w:r>
            <w:r/>
          </w:p>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5、防静电性能：≤0.3μC。</w:t>
            </w:r>
            <w:r/>
          </w:p>
          <w:p>
            <w:pPr>
              <w:pStyle w:val="729"/>
              <w:rPr>
                <w:rFonts w:hint="eastAsia" w:ascii="楷体" w:hAnsi="楷体" w:eastAsia="楷体" w:cs="楷体"/>
                <w:b/>
                <w:bCs/>
                <w:sz w:val="24"/>
              </w:rPr>
            </w:pPr>
            <w:r>
              <w:rPr>
                <w:rFonts w:hint="eastAsia" w:ascii="楷体" w:hAnsi="楷体" w:eastAsia="楷体" w:cs="楷体"/>
                <w:b/>
                <w:bCs/>
                <w:sz w:val="24"/>
              </w:rPr>
              <w:t xml:space="preserve">注：以上参数提供需符合</w:t>
            </w:r>
            <w:r>
              <w:rPr>
                <w:rFonts w:hint="eastAsia" w:ascii="楷体" w:hAnsi="楷体" w:eastAsia="楷体" w:cs="楷体"/>
                <w:b/>
                <w:bCs/>
                <w:color w:val="000000"/>
                <w:sz w:val="24"/>
              </w:rPr>
              <w:t xml:space="preserve">XF/GA633-2006</w:t>
            </w:r>
            <w:r>
              <w:rPr>
                <w:rFonts w:hint="eastAsia" w:ascii="楷体" w:hAnsi="楷体" w:eastAsia="楷体" w:cs="楷体"/>
                <w:b/>
                <w:bCs/>
                <w:sz w:val="24"/>
              </w:rPr>
              <w:t xml:space="preserve">《消防员抢险救援防护服装》标准的CMA检测报告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含上衣、裤子、行军帽和腰带。</w:t>
            </w:r>
            <w:r>
              <w:rPr>
                <w:rFonts w:hint="eastAsia" w:ascii="楷体" w:hAnsi="楷体" w:eastAsia="楷体" w:cs="楷体"/>
                <w:sz w:val="24"/>
              </w:rPr>
            </w:r>
            <w:r/>
          </w:p>
        </w:tc>
      </w:tr>
      <w:tr>
        <w:trPr>
          <w:trHeight w:val="90"/>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3</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抢险救援手套</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芳纶针织布+牛皮，袖口采用内扣收缩式+魔术贴：</w:t>
            </w:r>
            <w:r/>
          </w:p>
          <w:p>
            <w:pPr>
              <w:pStyle w:val="729"/>
              <w:rPr>
                <w:rFonts w:hint="eastAsia" w:ascii="楷体" w:hAnsi="楷体" w:eastAsia="楷体" w:cs="楷体"/>
                <w:sz w:val="24"/>
              </w:rPr>
            </w:pPr>
            <w:r>
              <w:rPr>
                <w:rFonts w:hint="eastAsia" w:ascii="楷体" w:hAnsi="楷体" w:eastAsia="楷体" w:cs="楷体"/>
                <w:sz w:val="24"/>
              </w:rPr>
              <w:t xml:space="preserve">1、阻燃性能：续燃时间(s)：经向0、纬向0；损毁长度(mm)：经向≤9、纬向≤9；熔融、滴落：无；</w:t>
            </w:r>
            <w:r/>
          </w:p>
          <w:p>
            <w:pPr>
              <w:pStyle w:val="729"/>
              <w:rPr>
                <w:rFonts w:hint="eastAsia" w:ascii="楷体" w:hAnsi="楷体" w:eastAsia="楷体" w:cs="楷体"/>
                <w:sz w:val="24"/>
              </w:rPr>
            </w:pPr>
            <w:r>
              <w:rPr>
                <w:rFonts w:hint="eastAsia" w:ascii="楷体" w:hAnsi="楷体" w:eastAsia="楷体" w:cs="楷体"/>
                <w:sz w:val="24"/>
              </w:rPr>
              <w:t xml:space="preserve">2、热稳定性能：手套尺寸变化率(%)：长方向≤1.3、宽方向≤1.8；手套在180℃温度下保持5min，试样表面无明显变化，且无熔融、熔滴和剥离现象；</w:t>
            </w:r>
            <w:r/>
          </w:p>
          <w:p>
            <w:pPr>
              <w:pStyle w:val="729"/>
              <w:rPr>
                <w:rFonts w:hint="eastAsia" w:ascii="楷体" w:hAnsi="楷体" w:eastAsia="楷体" w:cs="楷体"/>
                <w:sz w:val="24"/>
              </w:rPr>
            </w:pPr>
            <w:r>
              <w:rPr>
                <w:rFonts w:hint="eastAsia" w:ascii="楷体" w:hAnsi="楷体" w:eastAsia="楷体" w:cs="楷体"/>
                <w:sz w:val="24"/>
              </w:rPr>
              <w:t xml:space="preserve">3、耐磨性能：试样在9kPa的压力下，经8000次循环摩擦后，试样未被磨穿；抗切割性能：≥14N；耐撕破性能：背面外层：经向≥200N、纬向≥128N；抗机械刺穿性能：≥2</w:t>
            </w:r>
            <w:r>
              <w:rPr>
                <w:rFonts w:hint="eastAsia" w:ascii="楷体" w:hAnsi="楷体" w:eastAsia="楷体" w:cs="楷体"/>
                <w:sz w:val="24"/>
              </w:rPr>
              <w:t xml:space="preserve">20N；</w:t>
            </w:r>
            <w:r/>
          </w:p>
          <w:p>
            <w:pPr>
              <w:pStyle w:val="729"/>
              <w:rPr>
                <w:rFonts w:hint="eastAsia" w:ascii="楷体" w:hAnsi="楷体" w:eastAsia="楷体" w:cs="楷体"/>
                <w:sz w:val="24"/>
              </w:rPr>
            </w:pPr>
            <w:r>
              <w:rPr>
                <w:rFonts w:hint="eastAsia" w:ascii="楷体" w:hAnsi="楷体" w:eastAsia="楷体" w:cs="楷体"/>
                <w:sz w:val="24"/>
              </w:rPr>
              <w:t xml:space="preserve">4、灵巧性能：徒手控制百分比≤105%；抓握性能≥103%；救援手套穿戴时间≤9s；</w:t>
            </w:r>
            <w:r/>
          </w:p>
          <w:p>
            <w:pPr>
              <w:pStyle w:val="729"/>
              <w:rPr>
                <w:rFonts w:hint="eastAsia" w:ascii="楷体" w:hAnsi="楷体" w:eastAsia="楷体" w:cs="楷体"/>
                <w:b/>
                <w:bCs/>
                <w:sz w:val="24"/>
              </w:rPr>
            </w:pPr>
            <w:r>
              <w:rPr>
                <w:rFonts w:hint="eastAsia" w:ascii="楷体" w:hAnsi="楷体" w:eastAsia="楷体" w:cs="楷体"/>
                <w:b/>
                <w:bCs/>
                <w:sz w:val="24"/>
              </w:rPr>
              <w:t xml:space="preserve">注：以上参数需提供符合XF/GA633-2006《消防员抢险救援防护服装》标准的CMA检测报告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副</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711"/>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4</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抢险救援靴</w:t>
            </w:r>
            <w:r/>
          </w:p>
          <w:p>
            <w:pPr>
              <w:pStyle w:val="729"/>
              <w:jc w:val="center"/>
              <w:rPr>
                <w:rFonts w:hint="eastAsia" w:ascii="楷体" w:hAnsi="楷体" w:eastAsia="楷体" w:cs="楷体"/>
                <w:sz w:val="24"/>
              </w:rPr>
            </w:pPr>
            <w:r>
              <w:rPr>
                <w:rFonts w:hint="eastAsia" w:ascii="楷体" w:hAnsi="楷体" w:eastAsia="楷体" w:cs="楷体"/>
                <w:sz w:val="24"/>
              </w:rPr>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靴底选用天然橡胶， 设有防水胶条。整靴的主体颜色为黑色，有醒目颜色反光标志。靴帮材料为头层防水牛皮,靴帮内侧设有单向透气孔。鞋带：阻燃橘红色鞋带，鞋舌上方设计有储存鞋带的收拉袋：</w:t>
            </w:r>
            <w:r/>
          </w:p>
          <w:p>
            <w:pPr>
              <w:pStyle w:val="729"/>
              <w:numPr>
                <w:ilvl w:val="0"/>
                <w:numId w:val="16"/>
              </w:numPr>
              <w:rPr>
                <w:rFonts w:hint="eastAsia" w:ascii="楷体" w:hAnsi="楷体" w:eastAsia="楷体" w:cs="楷体"/>
                <w:sz w:val="24"/>
              </w:rPr>
            </w:pPr>
            <w:r>
              <w:rPr>
                <w:rFonts w:hint="eastAsia" w:ascii="楷体" w:hAnsi="楷体" w:eastAsia="楷体" w:cs="楷体"/>
                <w:sz w:val="24"/>
              </w:rPr>
              <w:t xml:space="preserve">靴底防穿刺层采用复合纤维防穿刺材料，抗刺穿力≥1200N；</w:t>
            </w:r>
            <w:r/>
          </w:p>
          <w:p>
            <w:pPr>
              <w:pStyle w:val="729"/>
              <w:numPr>
                <w:ilvl w:val="0"/>
                <w:numId w:val="16"/>
              </w:numPr>
              <w:rPr>
                <w:rFonts w:hint="eastAsia" w:ascii="楷体" w:hAnsi="楷体" w:eastAsia="楷体" w:cs="楷体"/>
                <w:sz w:val="24"/>
              </w:rPr>
            </w:pPr>
            <w:r>
              <w:rPr>
                <w:rFonts w:hint="eastAsia" w:ascii="楷体" w:hAnsi="楷体" w:eastAsia="楷体" w:cs="楷体"/>
                <w:sz w:val="24"/>
              </w:rPr>
              <w:t xml:space="preserve">质量：整双靴总质量≤1.8kg；</w:t>
            </w:r>
            <w:r/>
          </w:p>
          <w:p>
            <w:pPr>
              <w:pStyle w:val="729"/>
              <w:rPr>
                <w:rFonts w:hint="eastAsia" w:ascii="楷体" w:hAnsi="楷体" w:eastAsia="楷体" w:cs="楷体"/>
                <w:sz w:val="24"/>
              </w:rPr>
            </w:pPr>
            <w:r>
              <w:rPr>
                <w:rFonts w:hint="eastAsia" w:ascii="楷体" w:hAnsi="楷体" w:eastAsia="楷体" w:cs="楷体"/>
                <w:sz w:val="24"/>
              </w:rPr>
              <w:t xml:space="preserve">3、耐高温性能：抢险救援</w:t>
            </w:r>
            <w:r>
              <w:rPr>
                <w:rFonts w:hint="eastAsia" w:ascii="楷体" w:hAnsi="楷体" w:eastAsia="楷体" w:cs="楷体"/>
                <w:sz w:val="24"/>
              </w:rPr>
              <w:t xml:space="preserve">靴在温度为（180±5）℃条件下，经5min后，靴上任何部件不产生熔滴，所有硬质附件保持性能完好；鞋头耐压性能：内靴头间隙高度≥20mm； 鞋头抗冲击性能：内靴头间隙高度≥20mm；鞋面抗穿刺性能：靴筒部位≥200N；隔热性能：在隔热性能试验中被加热30min时，救援靴底内表面的升温≤10℃；</w:t>
            </w:r>
            <w:r/>
          </w:p>
          <w:p>
            <w:pPr>
              <w:pStyle w:val="729"/>
              <w:rPr>
                <w:rFonts w:hint="eastAsia" w:ascii="楷体" w:hAnsi="楷体" w:eastAsia="楷体" w:cs="楷体"/>
                <w:sz w:val="24"/>
              </w:rPr>
            </w:pPr>
            <w:r>
              <w:rPr>
                <w:rFonts w:hint="eastAsia" w:ascii="楷体" w:hAnsi="楷体" w:eastAsia="楷体" w:cs="楷体"/>
                <w:sz w:val="24"/>
              </w:rPr>
              <w:t xml:space="preserve">4、抢险救援靴在进行防滑性能试验时，始滑角≥22.5°；阻燃性能：火焰离开试样各试验点后，离火自熄时间：0s，损毁长度：≤25mm，无熔融、熔融或剥离现象。</w:t>
            </w:r>
            <w:r/>
          </w:p>
          <w:p>
            <w:pPr>
              <w:pStyle w:val="729"/>
              <w:rPr>
                <w:rFonts w:hint="eastAsia" w:ascii="楷体" w:hAnsi="楷体" w:eastAsia="楷体" w:cs="楷体"/>
                <w:sz w:val="24"/>
              </w:rPr>
            </w:pPr>
            <w:r>
              <w:rPr>
                <w:rFonts w:hint="eastAsia" w:ascii="楷体" w:hAnsi="楷体" w:eastAsia="楷体" w:cs="楷体"/>
                <w:sz w:val="24"/>
              </w:rPr>
              <w:t xml:space="preserve">5、击穿电压5000V，泄漏电流左≤0.1mA</w:t>
            </w:r>
            <w:r>
              <w:rPr>
                <w:rFonts w:hint="eastAsia" w:ascii="楷体" w:hAnsi="楷体" w:eastAsia="楷体" w:cs="楷体"/>
                <w:sz w:val="24"/>
              </w:rPr>
              <w:t xml:space="preserve">、右≤0.1mA。</w:t>
            </w:r>
            <w:r/>
          </w:p>
          <w:p>
            <w:pPr>
              <w:pStyle w:val="729"/>
              <w:rPr>
                <w:rFonts w:hint="eastAsia" w:ascii="楷体" w:hAnsi="楷体" w:eastAsia="楷体" w:cs="楷体"/>
                <w:sz w:val="24"/>
              </w:rPr>
            </w:pPr>
            <w:r>
              <w:rPr>
                <w:rFonts w:hint="eastAsia" w:ascii="楷体" w:hAnsi="楷体" w:eastAsia="楷体" w:cs="楷体"/>
                <w:sz w:val="24"/>
              </w:rPr>
              <w:t xml:space="preserve">6、在抗热辐射性能试验中10Kw/m2被辐照1min后，靴底内的温升≤8.0℃。</w:t>
            </w:r>
            <w:r/>
          </w:p>
          <w:p>
            <w:pPr>
              <w:pStyle w:val="729"/>
              <w:rPr>
                <w:rFonts w:hint="eastAsia" w:ascii="楷体" w:hAnsi="楷体" w:eastAsia="楷体" w:cs="楷体"/>
                <w:b/>
                <w:bCs/>
                <w:sz w:val="24"/>
              </w:rPr>
            </w:pPr>
            <w:r>
              <w:rPr>
                <w:rFonts w:hint="eastAsia" w:ascii="楷体" w:hAnsi="楷体" w:eastAsia="楷体" w:cs="楷体"/>
                <w:b/>
                <w:bCs/>
                <w:sz w:val="24"/>
              </w:rPr>
              <w:t xml:space="preserve">注：以上参数需提供符合XF/GA633-2006《消防员抢险救援防护服装》标准的CMA检测报告。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双</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90"/>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5</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护目镜</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1、可调节式头带，头带宽度≥10mm，质量≤150g；</w:t>
            </w:r>
            <w:r/>
          </w:p>
          <w:p>
            <w:pPr>
              <w:pStyle w:val="729"/>
              <w:rPr>
                <w:rFonts w:hint="eastAsia" w:ascii="楷体" w:hAnsi="楷体" w:eastAsia="楷体" w:cs="楷体"/>
                <w:sz w:val="24"/>
              </w:rPr>
            </w:pPr>
            <w:r>
              <w:rPr>
                <w:rFonts w:hint="eastAsia" w:ascii="楷体" w:hAnsi="楷体" w:eastAsia="楷体" w:cs="楷体"/>
                <w:sz w:val="24"/>
              </w:rPr>
              <w:t xml:space="preserve">2、护目镜的球镜度±0.06，柱镜度≤0.06；</w:t>
            </w:r>
            <w:r/>
          </w:p>
          <w:p>
            <w:pPr>
              <w:pStyle w:val="729"/>
              <w:rPr>
                <w:rFonts w:hint="eastAsia" w:ascii="楷体" w:hAnsi="楷体" w:eastAsia="楷体" w:cs="楷体"/>
                <w:sz w:val="24"/>
              </w:rPr>
            </w:pPr>
            <w:r>
              <w:rPr>
                <w:rFonts w:hint="eastAsia" w:ascii="楷体" w:hAnsi="楷体" w:eastAsia="楷体" w:cs="楷体"/>
                <w:sz w:val="24"/>
              </w:rPr>
              <w:t xml:space="preserve">3、具有防起雾功能；镜片光透射比≥70%，不具备滤光效果的镜片光透射比最大偏差≤5%，具备滤光效果的镜片光透射比最大偏差≤15%；</w:t>
            </w:r>
            <w:r/>
          </w:p>
          <w:p>
            <w:pPr>
              <w:pStyle w:val="729"/>
              <w:rPr>
                <w:rFonts w:hint="eastAsia" w:ascii="楷体" w:hAnsi="楷体" w:eastAsia="楷体" w:cs="楷体"/>
                <w:sz w:val="24"/>
              </w:rPr>
            </w:pPr>
            <w:r>
              <w:rPr>
                <w:rFonts w:hint="eastAsia" w:ascii="楷体" w:hAnsi="楷体" w:eastAsia="楷体" w:cs="楷体"/>
                <w:sz w:val="24"/>
              </w:rPr>
              <w:t xml:space="preserve">4、当护目镜为单镜片时，其长方形镜片（包括眼罩）的长≥130mm、宽≥50mm，厚度≤3.8</w:t>
            </w:r>
            <w:r>
              <w:rPr>
                <w:rFonts w:hint="eastAsia" w:ascii="楷体" w:hAnsi="楷体" w:eastAsia="楷体" w:cs="楷体"/>
                <w:sz w:val="24"/>
              </w:rPr>
              <w:t xml:space="preserve">mm。</w:t>
            </w:r>
            <w:r/>
          </w:p>
          <w:p>
            <w:pPr>
              <w:pStyle w:val="729"/>
              <w:rPr>
                <w:rFonts w:hint="eastAsia" w:ascii="楷体" w:hAnsi="楷体" w:eastAsia="楷体" w:cs="楷体"/>
                <w:b/>
                <w:bCs/>
                <w:sz w:val="24"/>
              </w:rPr>
            </w:pPr>
            <w:r>
              <w:rPr>
                <w:rFonts w:hint="eastAsia" w:ascii="楷体" w:hAnsi="楷体" w:eastAsia="楷体" w:cs="楷体"/>
                <w:b/>
                <w:bCs/>
                <w:sz w:val="24"/>
              </w:rPr>
              <w:t xml:space="preserve">注：以上参数需提供符合XF1273-2015《消防员防护辅助装备 消防员护目镜》标准的CMA检测报告。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副</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792"/>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6</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护膝、护肘</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numPr>
                <w:ilvl w:val="0"/>
                <w:numId w:val="17"/>
              </w:numPr>
              <w:rPr>
                <w:rFonts w:hint="eastAsia" w:ascii="楷体" w:hAnsi="楷体" w:eastAsia="楷体" w:cs="楷体"/>
                <w:sz w:val="24"/>
              </w:rPr>
            </w:pPr>
            <w:r>
              <w:rPr>
                <w:rFonts w:hint="eastAsia" w:ascii="楷体" w:hAnsi="楷体" w:eastAsia="楷体" w:cs="楷体"/>
                <w:sz w:val="24"/>
              </w:rPr>
              <w:t xml:space="preserve">外层采用高强度、高韧性、高耐磨的PVC、TPR（热塑性弹性材料）、TPU（热塑性聚氨酯弹性体材料）等高分子材料；固定装置可调节。</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副</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89</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562"/>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7</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安全绳（杜邦丝）</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1、材质：尼龙；重量：≤85g/m；绳索直径：≥12mm；拉力：≥26kN；</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米</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1500</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642"/>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8</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防刺穿手套</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1、防割能力≥4 级；耐穿刺性能≥20N</w:t>
            </w:r>
            <w:r>
              <w:rPr>
                <w:rFonts w:hint="eastAsia" w:ascii="楷体" w:hAnsi="楷体" w:eastAsia="楷体" w:cs="楷体"/>
                <w:sz w:val="24"/>
              </w:rPr>
              <w:t xml:space="preserve">；手掌覆磨砂牛皮、拇指和食指虎口部位加强防护，增强耐磨性；耐高温，间歇性接触干热≥250℃。</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副</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90"/>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9</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消防员呼救器</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1、静止至预警时间：30s±2s；预报警时间：15s±2s；预报警声级强度：≥85dB(A)；报警声级强度：≥100dB(A)；低电压告警声级强度：≥65dB(A)；</w:t>
            </w:r>
            <w:r/>
          </w:p>
          <w:p>
            <w:pPr>
              <w:pStyle w:val="729"/>
              <w:rPr>
                <w:rFonts w:hint="eastAsia" w:ascii="楷体" w:hAnsi="楷体" w:eastAsia="楷体" w:cs="楷体"/>
                <w:sz w:val="24"/>
              </w:rPr>
            </w:pPr>
            <w:r>
              <w:rPr>
                <w:rFonts w:hint="eastAsia" w:ascii="楷体" w:hAnsi="楷体" w:eastAsia="楷体" w:cs="楷体"/>
                <w:sz w:val="24"/>
              </w:rPr>
              <w:t xml:space="preserve">2、连续开机时间：≥24h ；连续报警时间：≥6h；                                                                                                                                                                                              </w:t>
            </w:r>
            <w:r>
              <w:rPr>
                <w:rFonts w:hint="eastAsia" w:ascii="楷体" w:hAnsi="楷体" w:eastAsia="楷体" w:cs="楷体"/>
                <w:sz w:val="24"/>
              </w:rPr>
              <w:t xml:space="preserve">                                                                                                                                                    </w:t>
            </w:r>
            <w:r>
              <w:rPr>
                <w:rFonts w:hint="eastAsia" w:ascii="楷体" w:hAnsi="楷体" w:eastAsia="楷体" w:cs="楷体"/>
                <w:sz w:val="24"/>
              </w:rPr>
              <w:t xml:space="preserve">                                                                                                                                                                                                                                                </w:t>
            </w:r>
            <w:r/>
          </w:p>
          <w:p>
            <w:pPr>
              <w:pStyle w:val="729"/>
              <w:rPr>
                <w:rFonts w:hint="eastAsia" w:ascii="楷体" w:hAnsi="楷体" w:eastAsia="楷体" w:cs="楷体"/>
                <w:sz w:val="24"/>
              </w:rPr>
            </w:pPr>
            <w:r>
              <w:rPr>
                <w:rFonts w:hint="eastAsia" w:ascii="楷体" w:hAnsi="楷体" w:eastAsia="楷体" w:cs="楷体"/>
                <w:sz w:val="24"/>
              </w:rPr>
              <w:t xml:space="preserve">3、质量：≤300g（含电池）；</w:t>
            </w:r>
            <w:r/>
          </w:p>
          <w:p>
            <w:pPr>
              <w:pStyle w:val="729"/>
              <w:rPr>
                <w:rFonts w:hint="eastAsia" w:ascii="楷体" w:hAnsi="楷体" w:eastAsia="楷体" w:cs="楷体"/>
                <w:sz w:val="24"/>
              </w:rPr>
            </w:pPr>
            <w:r>
              <w:rPr>
                <w:rFonts w:hint="eastAsia" w:ascii="楷体" w:hAnsi="楷体" w:eastAsia="楷体" w:cs="楷体"/>
                <w:sz w:val="24"/>
              </w:rPr>
              <w:t xml:space="preserve">4、每10个呼救器至少配备一个充电箱。</w:t>
            </w:r>
            <w:r/>
          </w:p>
          <w:p>
            <w:pPr>
              <w:pStyle w:val="729"/>
              <w:rPr>
                <w:rFonts w:ascii="楷体" w:hAnsi="楷体" w:eastAsia="楷体" w:cs="楷体"/>
                <w:sz w:val="24"/>
              </w:rPr>
            </w:pPr>
            <w:r>
              <w:rPr>
                <w:rFonts w:hint="eastAsia" w:ascii="楷体" w:hAnsi="楷体" w:eastAsia="楷体" w:cs="楷体"/>
                <w:sz w:val="24"/>
              </w:rPr>
              <w:t xml:space="preserve">▲5、外壳防护等级IP68,防爆等级：Exib IIC T4 Gb（提供防爆合格证）</w:t>
            </w:r>
            <w:r>
              <w:rPr>
                <w:rFonts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sz w:val="24"/>
              </w:rPr>
              <w:t xml:space="preserve">、</w:t>
            </w:r>
            <w:r>
              <w:rPr>
                <w:rFonts w:hint="eastAsia" w:ascii="楷体" w:hAnsi="楷体" w:eastAsia="楷体" w:cs="楷体"/>
                <w:sz w:val="24"/>
              </w:rPr>
              <w:t xml:space="preserve">其他参数</w:t>
            </w:r>
            <w:r>
              <w:rPr>
                <w:rFonts w:hint="eastAsia" w:ascii="楷体" w:hAnsi="楷体" w:eastAsia="楷体" w:cs="楷体"/>
                <w:sz w:val="24"/>
              </w:rPr>
              <w:t xml:space="preserve">符合消防员呼救器标准要求。</w:t>
            </w:r>
            <w:r>
              <w:rPr>
                <w:rFonts w:hint="eastAsia" w:ascii="楷体" w:hAnsi="楷体" w:eastAsia="楷体" w:cs="楷体"/>
                <w:sz w:val="24"/>
              </w:rPr>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个</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74"/>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10</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消防员方位灯</w:t>
            </w:r>
            <w:r/>
          </w:p>
          <w:p>
            <w:pPr>
              <w:pStyle w:val="729"/>
              <w:jc w:val="center"/>
              <w:rPr>
                <w:rFonts w:hint="eastAsia" w:ascii="楷体" w:hAnsi="楷体" w:eastAsia="楷体" w:cs="楷体"/>
                <w:sz w:val="24"/>
              </w:rPr>
            </w:pPr>
            <w:r>
              <w:rPr>
                <w:rFonts w:hint="eastAsia" w:ascii="楷体" w:hAnsi="楷体" w:eastAsia="楷体" w:cs="楷体"/>
                <w:sz w:val="24"/>
              </w:rPr>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1、采用LED灯芯，1个白色LED，4个红色LED；在100流明的频闪亮度下持续工作≥100小时。配装两节7号高能电池，连续工作时间≥100小时。方位灯可安装于头盔、救生衣的挂点、肩带、潜水安全带等。</w:t>
            </w:r>
            <w:r/>
          </w:p>
          <w:p>
            <w:pPr>
              <w:pStyle w:val="729"/>
              <w:rPr>
                <w:rFonts w:hint="eastAsia" w:ascii="楷体" w:hAnsi="楷体" w:eastAsia="楷体" w:cs="楷体"/>
                <w:sz w:val="24"/>
              </w:rPr>
            </w:pPr>
            <w:r>
              <w:rPr>
                <w:rFonts w:hint="eastAsia" w:ascii="楷体" w:hAnsi="楷体" w:eastAsia="楷体" w:cs="楷体"/>
                <w:sz w:val="24"/>
              </w:rPr>
              <w:t xml:space="preserve">2、夜晚频闪肉眼可视；对水及雨雾的穿透能力为300～500米。</w:t>
            </w:r>
            <w:r/>
          </w:p>
          <w:p>
            <w:pPr>
              <w:pStyle w:val="729"/>
              <w:rPr>
                <w:rFonts w:hint="eastAsia" w:ascii="楷体" w:hAnsi="楷体" w:eastAsia="楷体" w:cs="楷体"/>
                <w:sz w:val="24"/>
              </w:rPr>
            </w:pPr>
            <w:r>
              <w:rPr>
                <w:rFonts w:hint="eastAsia" w:ascii="楷体" w:hAnsi="楷体" w:eastAsia="楷体" w:cs="楷体"/>
                <w:sz w:val="24"/>
              </w:rPr>
              <w:t xml:space="preserve">3、额定电压：DC3V，可在-20～＋</w:t>
            </w:r>
            <w:r>
              <w:rPr>
                <w:rFonts w:hint="eastAsia" w:ascii="楷体" w:hAnsi="楷体" w:eastAsia="楷体" w:cs="楷体"/>
                <w:sz w:val="24"/>
              </w:rPr>
              <w:t xml:space="preserve">50°C温度下正常工作；防水100米，光通量：≥100LM。</w:t>
            </w:r>
            <w:r/>
          </w:p>
          <w:p>
            <w:pPr>
              <w:pStyle w:val="729"/>
              <w:rPr>
                <w:rFonts w:hint="eastAsia" w:ascii="楷体" w:hAnsi="楷体" w:eastAsia="楷体" w:cs="楷体"/>
                <w:sz w:val="24"/>
              </w:rPr>
            </w:pPr>
            <w:r>
              <w:rPr>
                <w:rFonts w:hint="eastAsia" w:ascii="楷体" w:hAnsi="楷体" w:eastAsia="楷体" w:cs="楷体"/>
                <w:sz w:val="24"/>
              </w:rPr>
              <w:t xml:space="preserve">4、外壳防护等级：符合GB/T 4208-2017要求，≥IP68。</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个</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555"/>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11</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视频生命探测仪</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1.主机显示屏对角线长度≥25CM，自带遮阳罩，支持录音、语音播报功能</w:t>
            </w:r>
            <w:r/>
          </w:p>
          <w:p>
            <w:pPr>
              <w:pStyle w:val="729"/>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color w:val="000000"/>
                <w:sz w:val="24"/>
              </w:rPr>
              <w:t xml:space="preserve"> 触屏功能，</w:t>
            </w:r>
            <w:r>
              <w:rPr>
                <w:rFonts w:hint="eastAsia" w:ascii="楷体" w:hAnsi="楷体" w:eastAsia="楷体" w:cs="楷体"/>
                <w:sz w:val="24"/>
              </w:rPr>
              <w:t xml:space="preserve">自带照明功能，黑暗环境可作为照明使用，具有多语言切换及显示功能。</w:t>
            </w:r>
            <w:r/>
          </w:p>
          <w:p>
            <w:pPr>
              <w:pStyle w:val="729"/>
              <w:rPr>
                <w:rFonts w:hint="eastAsia" w:ascii="楷体" w:hAnsi="楷体" w:eastAsia="楷体" w:cs="楷体"/>
                <w:sz w:val="24"/>
              </w:rPr>
            </w:pPr>
            <w:r>
              <w:rPr>
                <w:rFonts w:hint="eastAsia" w:ascii="楷体" w:hAnsi="楷体" w:eastAsia="楷体" w:cs="楷体"/>
                <w:sz w:val="24"/>
              </w:rPr>
              <w:t xml:space="preserve">2.主机显示屏幕具有显示画面具有放大、缩小功能，显示画面能够水平、垂直、270度翻转。</w:t>
            </w:r>
            <w:r/>
          </w:p>
          <w:p>
            <w:pPr>
              <w:pStyle w:val="729"/>
              <w:rPr>
                <w:rFonts w:hint="eastAsia" w:ascii="楷体" w:hAnsi="楷体" w:eastAsia="楷体" w:cs="楷体"/>
                <w:sz w:val="24"/>
              </w:rPr>
            </w:pPr>
            <w:r>
              <w:rPr>
                <w:rFonts w:hint="eastAsia" w:ascii="楷体" w:hAnsi="楷体" w:eastAsia="楷体" w:cs="楷体"/>
                <w:sz w:val="24"/>
              </w:rPr>
              <w:t xml:space="preserve">3.主机配有手带，可单手操作，同时配有肩带。</w:t>
            </w:r>
            <w:r/>
          </w:p>
          <w:p>
            <w:pPr>
              <w:pStyle w:val="729"/>
              <w:rPr>
                <w:rFonts w:hint="eastAsia" w:ascii="楷体" w:hAnsi="楷体" w:eastAsia="楷体" w:cs="楷体"/>
                <w:sz w:val="24"/>
              </w:rPr>
            </w:pPr>
            <w:r>
              <w:rPr>
                <w:rFonts w:hint="eastAsia" w:ascii="楷体" w:hAnsi="楷体" w:eastAsia="楷体" w:cs="楷体"/>
                <w:sz w:val="24"/>
              </w:rPr>
              <w:t xml:space="preserve">4.具有拍照、录像功能，可开启/关闭录像、语言选择、时间设置和视频查看，查看录像回放时能查询具体时间，录像清</w:t>
            </w:r>
            <w:r>
              <w:rPr>
                <w:rFonts w:hint="eastAsia" w:ascii="楷体" w:hAnsi="楷体" w:eastAsia="楷体" w:cs="楷体"/>
                <w:sz w:val="24"/>
              </w:rPr>
              <w:t xml:space="preserve">晰度可设置1080p和720p。</w:t>
            </w:r>
            <w:r/>
          </w:p>
          <w:p>
            <w:pPr>
              <w:pStyle w:val="729"/>
              <w:rPr>
                <w:rFonts w:hint="eastAsia" w:ascii="楷体" w:hAnsi="楷体" w:eastAsia="楷体" w:cs="楷体"/>
                <w:sz w:val="24"/>
              </w:rPr>
            </w:pPr>
            <w:r>
              <w:rPr>
                <w:rFonts w:hint="eastAsia" w:ascii="楷体" w:hAnsi="楷体" w:eastAsia="楷体" w:cs="楷体"/>
                <w:sz w:val="24"/>
              </w:rPr>
              <w:t xml:space="preserve">5.录像时间设置功能，具有3min、5min、10min、20min、30min共计5种快速选择档位。</w:t>
            </w:r>
            <w:r/>
          </w:p>
          <w:p>
            <w:pPr>
              <w:pStyle w:val="729"/>
              <w:rPr>
                <w:rFonts w:hint="eastAsia" w:ascii="楷体" w:hAnsi="楷体" w:eastAsia="楷体" w:cs="楷体"/>
                <w:sz w:val="24"/>
              </w:rPr>
            </w:pPr>
            <w:r>
              <w:rPr>
                <w:rFonts w:hint="eastAsia" w:ascii="楷体" w:hAnsi="楷体" w:eastAsia="楷体" w:cs="楷体"/>
                <w:sz w:val="24"/>
              </w:rPr>
              <w:t xml:space="preserve">6.显示屏边框颜色可调节，具有至少四种颜色选择功能。</w:t>
            </w:r>
            <w:r/>
          </w:p>
          <w:p>
            <w:pPr>
              <w:pStyle w:val="729"/>
              <w:rPr>
                <w:rFonts w:hint="eastAsia" w:ascii="楷体" w:hAnsi="楷体" w:eastAsia="楷体" w:cs="楷体"/>
                <w:sz w:val="24"/>
              </w:rPr>
            </w:pPr>
            <w:r>
              <w:rPr>
                <w:rFonts w:hint="eastAsia" w:ascii="楷体" w:hAnsi="楷体" w:eastAsia="楷体" w:cs="楷体"/>
                <w:sz w:val="24"/>
              </w:rPr>
              <w:t xml:space="preserve">7.配有激光对讲视频探头和防水探头两种。</w:t>
            </w:r>
            <w:r/>
          </w:p>
          <w:p>
            <w:pPr>
              <w:pStyle w:val="729"/>
              <w:rPr>
                <w:rFonts w:hint="eastAsia" w:ascii="楷体" w:hAnsi="楷体" w:eastAsia="楷体" w:cs="楷体"/>
                <w:b/>
                <w:bCs/>
                <w:sz w:val="24"/>
              </w:rPr>
            </w:pPr>
            <w:r>
              <w:rPr>
                <w:rFonts w:hint="eastAsia" w:ascii="楷体" w:hAnsi="楷体" w:eastAsia="楷体" w:cs="楷体"/>
                <w:sz w:val="24"/>
              </w:rPr>
              <w:t xml:space="preserve">8.激光对讲视频探头：探头外径≤40mm，内置≥8颗红外灯，≥6颗LED灯，探头前端内置可见光源，具有定位功能；内置指示灯，闪烁频率1次/秒，内置麦克风和扬声器，可双向对讲。</w:t>
            </w:r>
            <w:r>
              <w:rPr>
                <w:rFonts w:hint="eastAsia" w:ascii="楷体" w:hAnsi="楷体" w:eastAsia="楷体" w:cs="楷体"/>
                <w:b/>
                <w:bCs/>
                <w:sz w:val="24"/>
              </w:rPr>
              <w:t xml:space="preserve">提供</w:t>
            </w:r>
            <w:r>
              <w:rPr>
                <w:rFonts w:hint="eastAsia" w:ascii="楷体" w:hAnsi="楷体" w:eastAsia="楷体" w:cs="楷体"/>
                <w:b/>
                <w:bCs/>
                <w:sz w:val="24"/>
              </w:rPr>
              <w:t xml:space="preserve">符合GB/T15211-2013《安全防范报警</w:t>
            </w:r>
            <w:r>
              <w:rPr>
                <w:rFonts w:hint="eastAsia" w:ascii="楷体" w:hAnsi="楷体" w:eastAsia="楷体" w:cs="楷体"/>
                <w:b/>
                <w:bCs/>
                <w:sz w:val="24"/>
              </w:rPr>
              <w:t xml:space="preserve">设备、环境适应性要求和试验方法》标准的CMA检测报告。</w:t>
            </w:r>
            <w:r/>
          </w:p>
          <w:p>
            <w:pPr>
              <w:pStyle w:val="729"/>
              <w:rPr>
                <w:rFonts w:hint="eastAsia" w:ascii="楷体" w:hAnsi="楷体" w:eastAsia="楷体" w:cs="楷体"/>
                <w:sz w:val="24"/>
              </w:rPr>
            </w:pPr>
            <w:r>
              <w:rPr>
                <w:rFonts w:hint="eastAsia" w:ascii="楷体" w:hAnsi="楷体" w:eastAsia="楷体" w:cs="楷体"/>
                <w:sz w:val="24"/>
              </w:rPr>
              <w:t xml:space="preserve">▲9.红外防水探头：探头内置8颗红外灯，可自动感应光源控制红外灯开关，可视识别距离≥6米，探头外径≤25mm；防护等级IP67。</w:t>
            </w:r>
            <w:r>
              <w:rPr>
                <w:rFonts w:hint="eastAsia" w:ascii="楷体" w:hAnsi="楷体" w:eastAsia="楷体" w:cs="楷体"/>
                <w:b/>
                <w:bCs/>
                <w:sz w:val="24"/>
              </w:rPr>
              <w:t xml:space="preserve">提供符合GB/T15211-2013《安全防范报警设备、环境适应性要求和</w:t>
            </w:r>
            <w:r>
              <w:rPr>
                <w:rFonts w:hint="eastAsia" w:ascii="楷体" w:hAnsi="楷体" w:eastAsia="楷体" w:cs="楷体"/>
                <w:b/>
                <w:bCs/>
                <w:sz w:val="24"/>
              </w:rPr>
              <w:t xml:space="preserve">试验方法》标准的CMA检测报告。</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10.可伸缩探杆伸展长度≥2.2米，具有伸缩和弯曲功能。</w:t>
            </w:r>
            <w:r/>
          </w:p>
          <w:p>
            <w:pPr>
              <w:pStyle w:val="729"/>
              <w:rPr>
                <w:rFonts w:hint="eastAsia" w:ascii="楷体" w:hAnsi="楷体" w:eastAsia="楷体" w:cs="楷体"/>
                <w:sz w:val="24"/>
              </w:rPr>
            </w:pPr>
            <w:r>
              <w:rPr>
                <w:rFonts w:hint="eastAsia" w:ascii="楷体" w:hAnsi="楷体" w:eastAsia="楷体" w:cs="楷体"/>
                <w:sz w:val="24"/>
              </w:rPr>
              <w:t xml:space="preserve">11.主机采用锂电池供电，工作待机时间≥6小时；配独立电池包。</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979"/>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12</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支撑套具（9件套）</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1、材质:高强度轻型航空铝合金，所有部件经阳极涂层处理，安全系数≥4:1；</w:t>
            </w:r>
            <w:r/>
          </w:p>
          <w:p>
            <w:pPr>
              <w:pStyle w:val="729"/>
              <w:rPr>
                <w:rFonts w:hint="eastAsia" w:ascii="楷体" w:hAnsi="楷体" w:eastAsia="楷体" w:cs="楷体"/>
                <w:sz w:val="24"/>
              </w:rPr>
            </w:pPr>
            <w:r>
              <w:rPr>
                <w:rFonts w:hint="eastAsia" w:ascii="楷体" w:hAnsi="楷体" w:eastAsia="楷体" w:cs="楷体"/>
                <w:sz w:val="24"/>
              </w:rPr>
              <w:t xml:space="preserve">2、支撑力≥120KN；</w:t>
            </w:r>
            <w:r/>
          </w:p>
          <w:p>
            <w:pPr>
              <w:pStyle w:val="729"/>
              <w:rPr>
                <w:rFonts w:hint="eastAsia" w:ascii="楷体" w:hAnsi="楷体" w:eastAsia="楷体" w:cs="楷体"/>
                <w:sz w:val="24"/>
              </w:rPr>
            </w:pPr>
            <w:r>
              <w:rPr>
                <w:rFonts w:hint="eastAsia" w:ascii="楷体" w:hAnsi="楷体" w:eastAsia="楷体" w:cs="楷体"/>
                <w:sz w:val="24"/>
              </w:rPr>
              <w:t xml:space="preserve">3、配备不同类型的支撑头、底座等配件，可加装不同长度的延长杆；</w:t>
            </w:r>
            <w:r/>
          </w:p>
          <w:p>
            <w:pPr>
              <w:pStyle w:val="729"/>
              <w:rPr>
                <w:rFonts w:hint="eastAsia" w:ascii="楷体" w:hAnsi="楷体" w:eastAsia="楷体" w:cs="楷体"/>
                <w:sz w:val="24"/>
              </w:rPr>
            </w:pPr>
            <w:r>
              <w:rPr>
                <w:rFonts w:hint="eastAsia" w:ascii="楷体" w:hAnsi="楷体" w:eastAsia="楷体" w:cs="楷体"/>
                <w:sz w:val="24"/>
              </w:rPr>
              <w:t xml:space="preserve">4、撑杆：3根，伸缩杆长度≥600mm，伸缩距离≥200mm，重量≤7KG；  </w:t>
            </w:r>
            <w:r/>
          </w:p>
          <w:p>
            <w:pPr>
              <w:pStyle w:val="729"/>
            </w:pPr>
            <w:r>
              <w:rPr>
                <w:rFonts w:hint="eastAsia" w:ascii="楷体" w:hAnsi="楷体" w:eastAsia="楷体" w:cs="楷体"/>
                <w:sz w:val="24"/>
              </w:rPr>
              <w:t xml:space="preserve">3根，伸缩杆长度≥900mm，伸缩距离≥300mm，重量≤9KG；3根，伸缩杆长度≥1200mm，伸缩距离≥500mm，重量≤12KG；</w:t>
            </w:r>
            <w:r/>
          </w:p>
          <w:p>
            <w:pPr>
              <w:pStyle w:val="729"/>
              <w:rPr>
                <w:rFonts w:hint="eastAsia" w:ascii="楷体" w:hAnsi="楷体" w:eastAsia="楷体" w:cs="楷体"/>
                <w:sz w:val="24"/>
              </w:rPr>
            </w:pPr>
            <w:r>
              <w:rPr>
                <w:rFonts w:hint="eastAsia" w:ascii="楷体" w:hAnsi="楷体" w:eastAsia="楷体" w:cs="楷体"/>
                <w:sz w:val="24"/>
              </w:rPr>
              <w:t xml:space="preserve">5、其他配置：延长柱3根，≥300mm，重量≤2KG；延长柱3根，≥500mm；重量≤3KG；U型支撑脚4个,重量≤1KG；L型支撑脚4个，重量≤1KG；四角底座4个，重量≤1.5KG；八脚底座4个，重量≤1KG；5米气管1 根、脚踏气动泵1个、勾头扳手1个。</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90"/>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13</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液压救援顶杆</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1、顶杆端头和顶杆底座可360°旋转； </w:t>
            </w:r>
            <w:r/>
          </w:p>
          <w:p>
            <w:pPr>
              <w:pStyle w:val="729"/>
              <w:rPr>
                <w:rFonts w:hint="eastAsia" w:ascii="楷体" w:hAnsi="楷体" w:eastAsia="楷体" w:cs="楷体"/>
                <w:sz w:val="24"/>
              </w:rPr>
            </w:pPr>
            <w:r>
              <w:rPr>
                <w:rFonts w:hint="eastAsia" w:ascii="楷体" w:hAnsi="楷体" w:eastAsia="楷体" w:cs="楷体"/>
                <w:sz w:val="24"/>
              </w:rPr>
              <w:t xml:space="preserve">2、顶杆撑顶力≥130N；撑顶行程≥600mm；撑顶长度≥1000mm；工作压力≥72MPA。</w:t>
            </w:r>
            <w:r/>
          </w:p>
          <w:p>
            <w:pPr>
              <w:pStyle w:val="729"/>
              <w:rPr>
                <w:rFonts w:hint="eastAsia" w:ascii="楷体" w:hAnsi="楷体" w:eastAsia="楷体" w:cs="楷体"/>
                <w:sz w:val="24"/>
              </w:rPr>
            </w:pPr>
            <w:r>
              <w:rPr>
                <w:rFonts w:hint="eastAsia" w:ascii="楷体" w:hAnsi="楷体" w:eastAsia="楷体" w:cs="楷体"/>
                <w:sz w:val="24"/>
              </w:rPr>
              <w:t xml:space="preserve">3、破拆工具经1.3倍额定工作压力的强度试验后，不应有泄漏和机械损坏现象。</w:t>
            </w:r>
            <w:r/>
          </w:p>
          <w:p>
            <w:pPr>
              <w:pStyle w:val="729"/>
              <w:rPr>
                <w:rFonts w:hint="eastAsia" w:ascii="楷体" w:hAnsi="楷体" w:eastAsia="楷体" w:cs="楷体"/>
                <w:sz w:val="24"/>
              </w:rPr>
            </w:pPr>
            <w:r>
              <w:rPr>
                <w:rFonts w:hint="eastAsia" w:ascii="楷体" w:hAnsi="楷体" w:eastAsia="楷体" w:cs="楷体"/>
                <w:sz w:val="24"/>
              </w:rPr>
              <w:t xml:space="preserve">4、震动性能：震动试验无异常表现。</w:t>
            </w:r>
            <w:r/>
          </w:p>
          <w:p>
            <w:pPr>
              <w:pStyle w:val="729"/>
              <w:rPr>
                <w:rFonts w:hint="eastAsia" w:ascii="楷体" w:hAnsi="楷体" w:eastAsia="楷体" w:cs="楷体"/>
                <w:sz w:val="24"/>
              </w:rPr>
            </w:pPr>
            <w:r>
              <w:rPr>
                <w:rFonts w:hint="eastAsia" w:ascii="楷体" w:hAnsi="楷体" w:eastAsia="楷体" w:cs="楷体"/>
                <w:sz w:val="24"/>
              </w:rPr>
              <w:t xml:space="preserve">5、高低温性能：机动泵在55℃和-30℃保持正常工作。</w:t>
            </w:r>
            <w:r/>
          </w:p>
          <w:p>
            <w:pPr>
              <w:pStyle w:val="729"/>
              <w:rPr>
                <w:rFonts w:hint="eastAsia" w:ascii="楷体" w:hAnsi="楷体" w:eastAsia="楷体" w:cs="楷体"/>
                <w:sz w:val="24"/>
              </w:rPr>
            </w:pPr>
            <w:r>
              <w:rPr>
                <w:rFonts w:hint="eastAsia" w:ascii="楷体" w:hAnsi="楷体" w:eastAsia="楷体" w:cs="楷体"/>
                <w:sz w:val="24"/>
              </w:rPr>
              <w:t xml:space="preserve">6、密封性能：经密封性能试验后，最大位移≤1mm；连续使用50次后，无漏油无卡顿。</w:t>
            </w:r>
            <w:r/>
          </w:p>
          <w:p>
            <w:pPr>
              <w:pStyle w:val="729"/>
              <w:rPr>
                <w:rFonts w:hint="eastAsia" w:ascii="楷体" w:hAnsi="楷体" w:eastAsia="楷体" w:cs="楷体"/>
                <w:b/>
                <w:bCs/>
                <w:sz w:val="24"/>
              </w:rPr>
            </w:pPr>
            <w:r>
              <w:rPr>
                <w:rFonts w:hint="eastAsia" w:ascii="楷体" w:hAnsi="楷体" w:eastAsia="楷体" w:cs="楷体"/>
                <w:b/>
                <w:bCs/>
                <w:sz w:val="24"/>
              </w:rPr>
              <w:t xml:space="preserve">注：以上2-6项参数需提供符合GB/T 17906-2021《液压破拆工具通用技术条件》标准的CMA检测报告。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p>
            <w:pPr>
              <w:pStyle w:val="729"/>
              <w:jc w:val="center"/>
              <w:rPr>
                <w:rFonts w:hint="eastAsia" w:ascii="楷体" w:hAnsi="楷体" w:eastAsia="楷体" w:cs="楷体"/>
                <w:sz w:val="24"/>
              </w:rPr>
            </w:pPr>
            <w:r>
              <w:rPr>
                <w:rFonts w:hint="eastAsia" w:ascii="楷体" w:hAnsi="楷体" w:eastAsia="楷体" w:cs="楷体"/>
                <w:sz w:val="24"/>
              </w:rPr>
            </w:r>
            <w:r/>
          </w:p>
        </w:tc>
      </w:tr>
      <w:tr>
        <w:trPr>
          <w:trHeight w:val="428"/>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14</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安全绳（涤纶丝）</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▲1、破断强度：最小破断强度≥28kN；直径：12mm±0.5mm；</w:t>
            </w:r>
            <w:r/>
          </w:p>
          <w:p>
            <w:pPr>
              <w:pStyle w:val="729"/>
              <w:rPr>
                <w:rFonts w:hint="eastAsia" w:ascii="楷体" w:hAnsi="楷体" w:eastAsia="楷体" w:cs="楷体"/>
                <w:sz w:val="24"/>
              </w:rPr>
            </w:pPr>
            <w:r>
              <w:rPr>
                <w:rFonts w:hint="eastAsia" w:ascii="楷体" w:hAnsi="楷体" w:eastAsia="楷体" w:cs="楷体"/>
                <w:sz w:val="24"/>
              </w:rPr>
              <w:t xml:space="preserve">2、延伸率：当承重达到最小破断强度的10%时，安全绳的延伸率应不小于1%且不大于10%；</w:t>
            </w:r>
            <w:r/>
          </w:p>
          <w:p>
            <w:pPr>
              <w:pStyle w:val="729"/>
              <w:rPr>
                <w:rFonts w:hint="eastAsia" w:ascii="楷体" w:hAnsi="楷体" w:eastAsia="楷体" w:cs="楷体"/>
                <w:sz w:val="24"/>
              </w:rPr>
            </w:pPr>
            <w:r>
              <w:rPr>
                <w:rFonts w:hint="eastAsia" w:ascii="楷体" w:hAnsi="楷体" w:eastAsia="楷体" w:cs="楷体"/>
                <w:sz w:val="24"/>
              </w:rPr>
              <w:t xml:space="preserve">3、耐高温性能：经204℃</w:t>
            </w:r>
            <w:r>
              <w:rPr>
                <w:rFonts w:hint="eastAsia" w:ascii="楷体" w:hAnsi="楷体" w:eastAsia="楷体" w:cs="楷体"/>
                <w:sz w:val="24"/>
              </w:rPr>
              <w:t xml:space="preserve">士5℃的耐高温性能试验后，安全绳不应出现融熔、焦化现象。</w:t>
            </w:r>
            <w:r/>
          </w:p>
          <w:p>
            <w:pPr>
              <w:pStyle w:val="729"/>
              <w:rPr>
                <w:rFonts w:hint="eastAsia" w:ascii="楷体" w:hAnsi="楷体" w:eastAsia="楷体" w:cs="楷体"/>
                <w:sz w:val="24"/>
              </w:rPr>
            </w:pPr>
            <w:r>
              <w:rPr>
                <w:rFonts w:hint="eastAsia" w:ascii="楷体" w:hAnsi="楷体" w:eastAsia="楷体" w:cs="楷体"/>
                <w:sz w:val="24"/>
              </w:rPr>
              <w:t xml:space="preserve">▲4、抗滑移性能：经抗滑移性能试验后，绳皮（护套）沿绳芯正反两方向的纵向滑移量不应大于20mm。</w:t>
            </w:r>
            <w:r/>
          </w:p>
          <w:p>
            <w:pPr>
              <w:pStyle w:val="729"/>
              <w:rPr>
                <w:rFonts w:hint="eastAsia" w:ascii="楷体" w:hAnsi="楷体" w:eastAsia="楷体" w:cs="楷体"/>
                <w:b/>
                <w:bCs/>
                <w:sz w:val="24"/>
              </w:rPr>
            </w:pPr>
            <w:r>
              <w:rPr>
                <w:rFonts w:hint="eastAsia" w:ascii="楷体" w:hAnsi="楷体" w:eastAsia="楷体" w:cs="楷体"/>
                <w:b/>
                <w:bCs/>
                <w:sz w:val="24"/>
              </w:rPr>
              <w:t xml:space="preserve">注：以上参数需提供符合XF494-2023《消防用防坠落装备》标准的CMA检测报告。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米</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1500</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74"/>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15</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防坠落辅助部件</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通用型安全钩：</w:t>
            </w:r>
            <w:r/>
          </w:p>
          <w:p>
            <w:pPr>
              <w:pStyle w:val="729"/>
              <w:rPr>
                <w:rFonts w:hint="eastAsia" w:ascii="楷体" w:hAnsi="楷体" w:eastAsia="楷体" w:cs="楷体"/>
                <w:sz w:val="24"/>
              </w:rPr>
            </w:pPr>
            <w:r>
              <w:rPr>
                <w:rFonts w:hint="eastAsia" w:ascii="楷体" w:hAnsi="楷体" w:eastAsia="楷体" w:cs="楷体"/>
                <w:sz w:val="24"/>
              </w:rPr>
              <w:t xml:space="preserve">▲1、锁门形式：自锁；重量：≥120g；材质：钛合金； </w:t>
            </w:r>
            <w:r/>
          </w:p>
          <w:p>
            <w:pPr>
              <w:pStyle w:val="729"/>
              <w:rPr>
                <w:rFonts w:hint="eastAsia" w:ascii="楷体" w:hAnsi="楷体" w:eastAsia="楷体" w:cs="楷体"/>
                <w:sz w:val="24"/>
              </w:rPr>
            </w:pPr>
            <w:r>
              <w:rPr>
                <w:rFonts w:hint="eastAsia" w:ascii="楷体" w:hAnsi="楷体" w:eastAsia="楷体" w:cs="楷体"/>
                <w:sz w:val="24"/>
              </w:rPr>
              <w:t xml:space="preserve">▲2、破断强度：①安全钩长轴方向破断强度：≥45kN；②短轴方向破断强度：≥20kN；③开口状态时长轴方向破断强度：≥20kN。</w:t>
            </w:r>
            <w:r/>
          </w:p>
          <w:p>
            <w:pPr>
              <w:pStyle w:val="729"/>
              <w:rPr>
                <w:rFonts w:hint="eastAsia" w:ascii="楷体" w:hAnsi="楷体" w:eastAsia="楷体" w:cs="楷体"/>
                <w:sz w:val="24"/>
              </w:rPr>
            </w:pPr>
            <w:r>
              <w:rPr>
                <w:rFonts w:hint="eastAsia" w:ascii="楷体" w:hAnsi="楷体" w:eastAsia="楷体" w:cs="楷体"/>
                <w:sz w:val="24"/>
              </w:rPr>
              <w:t xml:space="preserve">止坠器：</w:t>
            </w:r>
            <w:r/>
          </w:p>
          <w:p>
            <w:pPr>
              <w:pStyle w:val="729"/>
              <w:rPr>
                <w:rFonts w:hint="eastAsia" w:ascii="楷体" w:hAnsi="楷体" w:eastAsia="楷体" w:cs="楷体"/>
                <w:sz w:val="24"/>
              </w:rPr>
            </w:pPr>
            <w:r>
              <w:rPr>
                <w:rFonts w:hint="eastAsia" w:ascii="楷体" w:hAnsi="楷体" w:eastAsia="楷体" w:cs="楷体"/>
                <w:sz w:val="24"/>
              </w:rPr>
              <w:t xml:space="preserve">3、材质：铝合金；适用绳径：8-13mm；</w:t>
            </w:r>
            <w:r/>
          </w:p>
          <w:p>
            <w:pPr>
              <w:pStyle w:val="729"/>
              <w:rPr>
                <w:rFonts w:hint="eastAsia" w:ascii="楷体" w:hAnsi="楷体" w:eastAsia="楷体" w:cs="楷体"/>
                <w:sz w:val="24"/>
              </w:rPr>
            </w:pPr>
            <w:r>
              <w:rPr>
                <w:rFonts w:hint="eastAsia" w:ascii="楷体" w:hAnsi="楷体" w:eastAsia="楷体" w:cs="楷体"/>
                <w:sz w:val="24"/>
              </w:rPr>
              <w:t xml:space="preserve">4、工作负荷：≥11kN； </w:t>
            </w:r>
            <w:r/>
          </w:p>
          <w:p>
            <w:pPr>
              <w:pStyle w:val="729"/>
              <w:rPr>
                <w:rFonts w:hint="eastAsia" w:ascii="楷体" w:hAnsi="楷体" w:eastAsia="楷体" w:cs="楷体"/>
                <w:sz w:val="24"/>
              </w:rPr>
            </w:pPr>
            <w:r>
              <w:rPr>
                <w:rFonts w:hint="eastAsia" w:ascii="楷体" w:hAnsi="楷体" w:eastAsia="楷体" w:cs="楷体"/>
                <w:sz w:val="24"/>
              </w:rPr>
              <w:t xml:space="preserve">势能吸收器：</w:t>
            </w:r>
            <w:r/>
          </w:p>
          <w:p>
            <w:pPr>
              <w:pStyle w:val="729"/>
              <w:rPr>
                <w:rFonts w:hint="eastAsia" w:ascii="楷体" w:hAnsi="楷体" w:eastAsia="楷体" w:cs="楷体"/>
                <w:sz w:val="24"/>
              </w:rPr>
            </w:pPr>
            <w:r>
              <w:rPr>
                <w:rFonts w:hint="eastAsia" w:ascii="楷体" w:hAnsi="楷体" w:eastAsia="楷体" w:cs="楷体"/>
                <w:sz w:val="24"/>
              </w:rPr>
              <w:t xml:space="preserve">5、材质：涤纶；制动力：≤5kN；永久变形：≤1.2m，符合GB24538-2009 防坠落 缓冲器 （II缓冲器）；</w:t>
            </w:r>
            <w:r/>
          </w:p>
          <w:p>
            <w:pPr>
              <w:pStyle w:val="729"/>
              <w:rPr>
                <w:rFonts w:hint="eastAsia" w:ascii="楷体" w:hAnsi="楷体" w:eastAsia="楷体" w:cs="楷体"/>
                <w:sz w:val="24"/>
              </w:rPr>
            </w:pPr>
            <w:r>
              <w:rPr>
                <w:rFonts w:hint="eastAsia" w:ascii="楷体" w:hAnsi="楷体" w:eastAsia="楷体" w:cs="楷体"/>
                <w:sz w:val="24"/>
              </w:rPr>
              <w:t xml:space="preserve">下降器：</w:t>
            </w:r>
            <w:r/>
          </w:p>
          <w:p>
            <w:pPr>
              <w:pStyle w:val="729"/>
              <w:rPr>
                <w:rFonts w:hint="eastAsia" w:ascii="楷体" w:hAnsi="楷体" w:eastAsia="楷体" w:cs="楷体"/>
                <w:sz w:val="24"/>
              </w:rPr>
            </w:pPr>
            <w:r>
              <w:rPr>
                <w:rFonts w:hint="eastAsia" w:ascii="楷体" w:hAnsi="楷体" w:eastAsia="楷体" w:cs="楷体"/>
                <w:sz w:val="24"/>
              </w:rPr>
              <w:t xml:space="preserve">6、材质：7075铝合金，适用绳径：9.5-13mm；</w:t>
            </w:r>
            <w:r/>
          </w:p>
          <w:p>
            <w:pPr>
              <w:pStyle w:val="729"/>
              <w:rPr>
                <w:rFonts w:hint="eastAsia" w:ascii="楷体" w:hAnsi="楷体" w:eastAsia="楷体" w:cs="楷体"/>
                <w:sz w:val="24"/>
              </w:rPr>
            </w:pPr>
            <w:r>
              <w:rPr>
                <w:rFonts w:hint="eastAsia" w:ascii="楷体" w:hAnsi="楷体" w:eastAsia="楷体" w:cs="楷体"/>
                <w:sz w:val="24"/>
              </w:rPr>
              <w:t xml:space="preserve">7、工作负荷：≥11kN； </w:t>
            </w:r>
            <w:r/>
          </w:p>
          <w:p>
            <w:pPr>
              <w:pStyle w:val="729"/>
              <w:rPr>
                <w:rFonts w:hint="eastAsia" w:ascii="楷体" w:hAnsi="楷体" w:eastAsia="楷体" w:cs="楷体"/>
                <w:sz w:val="24"/>
              </w:rPr>
            </w:pPr>
            <w:r>
              <w:rPr>
                <w:rFonts w:hint="eastAsia" w:ascii="楷体" w:hAnsi="楷体" w:eastAsia="楷体" w:cs="楷体"/>
                <w:sz w:val="24"/>
              </w:rPr>
              <w:t xml:space="preserve">轻型安全钩：</w:t>
            </w:r>
            <w:r/>
          </w:p>
          <w:p>
            <w:pPr>
              <w:pStyle w:val="729"/>
              <w:rPr>
                <w:rFonts w:hint="eastAsia" w:ascii="楷体" w:hAnsi="楷体" w:eastAsia="楷体" w:cs="楷体"/>
                <w:sz w:val="24"/>
              </w:rPr>
            </w:pPr>
            <w:r>
              <w:rPr>
                <w:rFonts w:hint="eastAsia" w:ascii="楷体" w:hAnsi="楷体" w:eastAsia="楷体" w:cs="楷体"/>
                <w:sz w:val="24"/>
              </w:rPr>
              <w:t xml:space="preserve">8、锁门形式：自锁；材质：铝合金；轻型安全钩：</w:t>
            </w:r>
            <w:r>
              <w:rPr>
                <w:rFonts w:hint="eastAsia" w:ascii="楷体" w:hAnsi="楷体" w:eastAsia="楷体" w:cs="楷体"/>
                <w:color w:val="000000"/>
                <w:sz w:val="24"/>
              </w:rPr>
              <w:t xml:space="preserve">重量：≤90g</w:t>
            </w:r>
            <w:r>
              <w:rPr>
                <w:rFonts w:hint="eastAsia" w:ascii="楷体" w:hAnsi="楷体" w:eastAsia="楷体" w:cs="楷体"/>
                <w:sz w:val="24"/>
              </w:rPr>
              <w:t xml:space="preserve">；</w:t>
            </w:r>
            <w:r>
              <w:rPr>
                <w:rFonts w:hint="eastAsia" w:ascii="楷体" w:hAnsi="楷体" w:eastAsia="楷体" w:cs="楷体"/>
                <w:color w:val="ee0000"/>
                <w:sz w:val="24"/>
              </w:rPr>
              <w:t xml:space="preserve"> </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▲9、破断强度：①安全钩长轴方向破断强度：≥30kN；②短轴方向破断强度：≥10kN；③开口状态时长轴方向破断强度：≥10kN； </w:t>
            </w:r>
            <w:r/>
          </w:p>
          <w:p>
            <w:pPr>
              <w:pStyle w:val="729"/>
              <w:rPr>
                <w:rFonts w:hint="eastAsia" w:ascii="楷体" w:hAnsi="楷体" w:eastAsia="楷体" w:cs="楷体"/>
                <w:sz w:val="24"/>
              </w:rPr>
            </w:pPr>
            <w:r>
              <w:rPr>
                <w:rFonts w:hint="eastAsia" w:ascii="楷体" w:hAnsi="楷体" w:eastAsia="楷体" w:cs="楷体"/>
                <w:sz w:val="24"/>
              </w:rPr>
              <w:t xml:space="preserve">绳包</w:t>
            </w:r>
            <w:r/>
          </w:p>
          <w:p>
            <w:pPr>
              <w:pStyle w:val="729"/>
              <w:rPr>
                <w:rFonts w:hint="eastAsia" w:ascii="楷体" w:hAnsi="楷体" w:eastAsia="楷体" w:cs="楷体"/>
                <w:sz w:val="24"/>
              </w:rPr>
            </w:pPr>
            <w:r>
              <w:rPr>
                <w:rFonts w:hint="eastAsia" w:ascii="楷体" w:hAnsi="楷体" w:eastAsia="楷体" w:cs="楷体"/>
                <w:sz w:val="24"/>
              </w:rPr>
              <w:t xml:space="preserve">10</w:t>
            </w:r>
            <w:r>
              <w:rPr>
                <w:rFonts w:hint="eastAsia" w:ascii="楷体" w:hAnsi="楷体" w:eastAsia="楷体" w:cs="楷体"/>
                <w:sz w:val="24"/>
              </w:rPr>
              <w:t xml:space="preserve">、容量：≥35L；材质：PVC; 外观：桶装式可直立防止，底部有漏水口；可背负或手提；产品符合QB/T 1333-2018《背提包》的要求。</w:t>
            </w:r>
            <w:r/>
          </w:p>
          <w:p>
            <w:pPr>
              <w:pStyle w:val="729"/>
              <w:rPr>
                <w:rFonts w:hint="eastAsia" w:ascii="楷体" w:hAnsi="楷体" w:eastAsia="楷体" w:cs="楷体"/>
                <w:b/>
                <w:bCs/>
                <w:sz w:val="24"/>
              </w:rPr>
            </w:pPr>
            <w:r>
              <w:rPr>
                <w:rFonts w:hint="eastAsia" w:ascii="楷体" w:hAnsi="楷体" w:eastAsia="楷体" w:cs="楷体"/>
                <w:b/>
                <w:bCs/>
                <w:sz w:val="24"/>
              </w:rPr>
              <w:t xml:space="preserve">注:</w:t>
            </w:r>
            <w:r>
              <w:rPr>
                <w:rFonts w:hint="eastAsia"/>
              </w:rPr>
              <w:t xml:space="preserve"> </w:t>
            </w:r>
            <w:r>
              <w:rPr>
                <w:rFonts w:hint="eastAsia" w:ascii="楷体" w:hAnsi="楷体" w:eastAsia="楷体" w:cs="楷体"/>
                <w:b/>
                <w:bCs/>
                <w:sz w:val="24"/>
              </w:rPr>
              <w:t xml:space="preserve">上述标注“▲”项参数须</w:t>
            </w:r>
            <w:r>
              <w:rPr>
                <w:rFonts w:hint="eastAsia" w:ascii="楷体" w:hAnsi="楷体" w:eastAsia="楷体" w:cs="楷体"/>
                <w:b/>
                <w:bCs/>
                <w:sz w:val="24"/>
              </w:rPr>
              <w:t xml:space="preserve">提供符合XF494-2023《消防用防坠落装备》标准的CMA检测报告。</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10</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86"/>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16</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机动链锯</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1、功率≥2.4KW，最高功率转速≥12000rpm，怠速≥2700rpm；</w:t>
            </w:r>
            <w:r/>
          </w:p>
          <w:p>
            <w:pPr>
              <w:pStyle w:val="729"/>
              <w:rPr>
                <w:rFonts w:hint="eastAsia" w:ascii="楷体" w:hAnsi="楷体" w:eastAsia="楷体" w:cs="楷体"/>
                <w:sz w:val="24"/>
              </w:rPr>
            </w:pPr>
            <w:r>
              <w:rPr>
                <w:rFonts w:hint="eastAsia" w:ascii="楷体" w:hAnsi="楷体" w:eastAsia="楷体" w:cs="楷体"/>
                <w:sz w:val="24"/>
              </w:rPr>
              <w:t xml:space="preserve">2、气缸缸径≥42mm，燃油箱容量≥0.45升，带链条带导板气缸排量：≥70cm3；</w:t>
            </w:r>
            <w:r/>
          </w:p>
          <w:p>
            <w:pPr>
              <w:pStyle w:val="729"/>
              <w:rPr>
                <w:rFonts w:hint="eastAsia" w:ascii="楷体" w:hAnsi="楷体" w:eastAsia="楷体" w:cs="楷体"/>
                <w:sz w:val="24"/>
              </w:rPr>
            </w:pPr>
            <w:r>
              <w:rPr>
                <w:rFonts w:hint="eastAsia" w:ascii="楷体" w:hAnsi="楷体" w:eastAsia="楷体" w:cs="楷体"/>
                <w:sz w:val="24"/>
              </w:rPr>
              <w:t xml:space="preserve">3、链条润滑油箱容量0.26升，链条润滑油泵流量9-9 毫升/分钟，链条节距：325"，导板长度：33-50cm；</w:t>
            </w:r>
            <w:r/>
          </w:p>
          <w:p>
            <w:pPr>
              <w:pStyle w:val="729"/>
              <w:rPr>
                <w:rFonts w:hint="eastAsia" w:ascii="楷体" w:hAnsi="楷体" w:eastAsia="楷体" w:cs="楷体"/>
                <w:sz w:val="24"/>
              </w:rPr>
            </w:pPr>
            <w:r>
              <w:rPr>
                <w:rFonts w:hint="eastAsia" w:ascii="楷体" w:hAnsi="楷体" w:eastAsia="楷体" w:cs="楷体"/>
                <w:sz w:val="24"/>
              </w:rPr>
              <w:t xml:space="preserve">4、最大功率时的链条速度：≥17m/s；噪音等级：≤103.3 dB(A)；声功率级，LWA：≤105 dB(A)。</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3</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413"/>
        </w:trPr>
        <w:tc>
          <w:tcPr>
            <w:tcW w:w="61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17</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无齿锯</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1、排量≥70cc，功率≥3.7kw，锯片尺寸：300-350mm，锯片罩可无极调整；最大切割深度</w:t>
            </w:r>
            <w:r>
              <w:rPr>
                <w:rFonts w:hint="eastAsia" w:ascii="楷体" w:hAnsi="楷体" w:eastAsia="楷体" w:cs="楷体"/>
                <w:color w:val="000000"/>
                <w:sz w:val="24"/>
              </w:rPr>
              <w:t xml:space="preserve">：≥125mm；</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2、两冲程发动机，低温启动时间（-25°--20°）≤30s；</w:t>
            </w:r>
            <w:r/>
          </w:p>
          <w:p>
            <w:pPr>
              <w:pStyle w:val="729"/>
              <w:rPr>
                <w:rFonts w:hint="eastAsia" w:ascii="楷体" w:hAnsi="楷体" w:eastAsia="楷体" w:cs="楷体"/>
                <w:sz w:val="24"/>
              </w:rPr>
            </w:pPr>
            <w:r>
              <w:rPr>
                <w:rFonts w:hint="eastAsia" w:ascii="楷体" w:hAnsi="楷体" w:eastAsia="楷体" w:cs="楷体"/>
                <w:sz w:val="24"/>
              </w:rPr>
              <w:t xml:space="preserve">3、切割钢筋速度≥27cm</w:t>
            </w:r>
            <w:r>
              <w:rPr>
                <w:rFonts w:ascii="Calibri" w:hAnsi="Calibri" w:eastAsia="楷体" w:cs="Calibri"/>
                <w:sz w:val="24"/>
              </w:rPr>
              <w:t xml:space="preserve">²</w:t>
            </w:r>
            <w:r>
              <w:rPr>
                <w:rFonts w:hint="eastAsia" w:ascii="楷体" w:hAnsi="楷体" w:eastAsia="楷体" w:cs="楷体"/>
                <w:sz w:val="24"/>
              </w:rPr>
              <w:t xml:space="preserve">/min；切割木材速度≥790 cm</w:t>
            </w:r>
            <w:r>
              <w:rPr>
                <w:rFonts w:ascii="Calibri" w:hAnsi="Calibri" w:eastAsia="楷体" w:cs="Calibri"/>
                <w:sz w:val="24"/>
              </w:rPr>
              <w:t xml:space="preserve">²</w:t>
            </w:r>
            <w:r>
              <w:rPr>
                <w:rFonts w:hint="eastAsia" w:ascii="楷体" w:hAnsi="楷体" w:eastAsia="楷体" w:cs="楷体"/>
                <w:sz w:val="24"/>
              </w:rPr>
              <w:t xml:space="preserve">/min；切割混凝土≥750 cm</w:t>
            </w:r>
            <w:r>
              <w:rPr>
                <w:rFonts w:ascii="Calibri" w:hAnsi="Calibri" w:eastAsia="楷体" w:cs="Calibri"/>
                <w:sz w:val="24"/>
              </w:rPr>
              <w:t xml:space="preserve">²</w:t>
            </w:r>
            <w:r>
              <w:rPr>
                <w:rFonts w:hint="eastAsia" w:ascii="楷体" w:hAnsi="楷体" w:eastAsia="楷体" w:cs="楷体"/>
                <w:sz w:val="24"/>
              </w:rPr>
              <w:t xml:space="preserve">/min；切割速度（钢板）≥50cm</w:t>
            </w:r>
            <w:r>
              <w:rPr>
                <w:rFonts w:ascii="Calibri" w:hAnsi="Calibri" w:eastAsia="楷体" w:cs="Calibri"/>
                <w:sz w:val="24"/>
              </w:rPr>
              <w:t xml:space="preserve">²</w:t>
            </w:r>
            <w:r>
              <w:rPr>
                <w:rFonts w:hint="eastAsia" w:ascii="楷体" w:hAnsi="楷体" w:eastAsia="楷体" w:cs="楷体"/>
                <w:sz w:val="24"/>
              </w:rPr>
              <w:t xml:space="preserve">/m</w:t>
            </w:r>
            <w:r>
              <w:rPr>
                <w:rFonts w:hint="eastAsia" w:ascii="楷体" w:hAnsi="楷体" w:eastAsia="楷体" w:cs="楷体"/>
                <w:sz w:val="24"/>
              </w:rPr>
              <w:t xml:space="preserve">in；</w:t>
            </w:r>
            <w:r/>
          </w:p>
          <w:p>
            <w:pPr>
              <w:pStyle w:val="729"/>
              <w:rPr>
                <w:rFonts w:hint="eastAsia" w:ascii="楷体" w:hAnsi="楷体" w:eastAsia="楷体" w:cs="楷体"/>
                <w:sz w:val="24"/>
              </w:rPr>
            </w:pPr>
            <w:r>
              <w:rPr>
                <w:rFonts w:hint="eastAsia" w:ascii="楷体" w:hAnsi="楷体" w:eastAsia="楷体" w:cs="楷体"/>
                <w:sz w:val="24"/>
              </w:rPr>
              <w:t xml:space="preserve">4、满油箱连续工作时间≥1300s； </w:t>
            </w:r>
            <w:r/>
          </w:p>
          <w:p>
            <w:pPr>
              <w:pStyle w:val="729"/>
              <w:rPr>
                <w:rFonts w:hint="eastAsia" w:ascii="楷体" w:hAnsi="楷体" w:eastAsia="楷体" w:cs="楷体"/>
                <w:sz w:val="24"/>
              </w:rPr>
            </w:pPr>
            <w:r>
              <w:rPr>
                <w:rFonts w:hint="eastAsia" w:ascii="楷体" w:hAnsi="楷体" w:eastAsia="楷体" w:cs="楷体"/>
                <w:sz w:val="24"/>
              </w:rPr>
              <w:t xml:space="preserve">5、配备砂轮锯片≥2张，专用工具1个，配比壶1个。</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3</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85"/>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18</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双轮异向切割锯</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1、可快速切割硬度较高的金属薄片、塑料、电缆等；</w:t>
            </w:r>
            <w:r/>
          </w:p>
          <w:p>
            <w:pPr>
              <w:pStyle w:val="729"/>
              <w:rPr>
                <w:rFonts w:hint="eastAsia" w:ascii="楷体" w:hAnsi="楷体" w:eastAsia="楷体" w:cs="楷体"/>
                <w:sz w:val="24"/>
              </w:rPr>
            </w:pPr>
            <w:r>
              <w:rPr>
                <w:rFonts w:hint="eastAsia" w:ascii="楷体" w:hAnsi="楷体" w:eastAsia="楷体" w:cs="楷体"/>
                <w:sz w:val="24"/>
              </w:rPr>
              <w:t xml:space="preserve">2、汽油发动机为动力，功率≥4.0kW，汽缸排量≥70CC，缸径≥50mm，无负荷最大转速≥13500rpm，燃油箱体积≥0.77L；</w:t>
            </w:r>
            <w:r/>
          </w:p>
          <w:p>
            <w:pPr>
              <w:pStyle w:val="729"/>
              <w:rPr>
                <w:rFonts w:hint="eastAsia" w:ascii="楷体" w:hAnsi="楷体" w:eastAsia="楷体" w:cs="楷体"/>
                <w:sz w:val="24"/>
              </w:rPr>
            </w:pPr>
            <w:r>
              <w:rPr>
                <w:rFonts w:hint="eastAsia" w:ascii="楷体" w:hAnsi="楷体" w:eastAsia="楷体" w:cs="楷体"/>
                <w:sz w:val="24"/>
              </w:rPr>
              <w:t xml:space="preserve">3、破拆性能：切割横截面积3.8cm2建筑用螺纹钢，切割时间≤3.5s，切割速度≥65 cm2/min，切割深度≥115mm；</w:t>
            </w:r>
            <w:r/>
          </w:p>
          <w:p>
            <w:pPr>
              <w:pStyle w:val="729"/>
              <w:rPr>
                <w:rFonts w:hint="eastAsia" w:ascii="楷体" w:hAnsi="楷体" w:eastAsia="楷体" w:cs="楷体"/>
                <w:sz w:val="24"/>
              </w:rPr>
            </w:pPr>
            <w:r>
              <w:rPr>
                <w:rFonts w:hint="eastAsia" w:ascii="楷体" w:hAnsi="楷体" w:eastAsia="楷体" w:cs="楷体"/>
                <w:sz w:val="24"/>
              </w:rPr>
              <w:t xml:space="preserve">4、工作环境：-25℃~-20℃；噪声≤105db；</w:t>
            </w:r>
            <w:r/>
          </w:p>
          <w:p>
            <w:pPr>
              <w:pStyle w:val="729"/>
              <w:rPr>
                <w:rFonts w:hint="eastAsia" w:ascii="楷体" w:hAnsi="楷体" w:eastAsia="楷体" w:cs="楷体"/>
                <w:sz w:val="24"/>
              </w:rPr>
            </w:pPr>
            <w:r>
              <w:rPr>
                <w:rFonts w:hint="eastAsia" w:ascii="楷体" w:hAnsi="楷体" w:eastAsia="楷体" w:cs="楷体"/>
                <w:sz w:val="24"/>
              </w:rPr>
              <w:t xml:space="preserve">6、配置：锯片1付，专用工具箱，护目镜、防护手套、专用工具、加油比例桶等。</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3</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689"/>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19</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多功能环锯</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numPr>
                <w:ilvl w:val="0"/>
                <w:numId w:val="19"/>
              </w:numPr>
              <w:tabs>
                <w:tab w:val="left" w:pos="420" w:leader="none"/>
              </w:tabs>
              <w:rPr>
                <w:rFonts w:hint="eastAsia" w:ascii="楷体" w:hAnsi="楷体" w:eastAsia="楷体" w:cs="楷体"/>
                <w:sz w:val="24"/>
              </w:rPr>
            </w:pPr>
            <w:r>
              <w:rPr>
                <w:rFonts w:hint="eastAsia" w:ascii="楷体" w:hAnsi="楷体" w:eastAsia="楷体" w:cs="楷体"/>
                <w:sz w:val="24"/>
              </w:rPr>
              <w:t xml:space="preserve">额定功率：≥4.8KW；排量：≥93 cc；锯片：≥350 mm；切割深</w:t>
            </w:r>
            <w:r/>
          </w:p>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度：≥270mm；噪音等级≤110db</w:t>
            </w:r>
            <w:r>
              <w:rPr>
                <w:rFonts w:ascii="楷体" w:hAnsi="楷体" w:eastAsia="楷体" w:cs="楷体"/>
                <w:sz w:val="24"/>
              </w:rPr>
              <w:t xml:space="preserve">，</w:t>
            </w:r>
            <w:r>
              <w:rPr>
                <w:rFonts w:hint="eastAsia" w:ascii="楷体" w:hAnsi="楷体" w:eastAsia="楷体" w:cs="楷体"/>
                <w:sz w:val="24"/>
              </w:rPr>
              <w:t xml:space="preserve">转速≥9000rpm 。  </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416"/>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20</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液压破拆工具组</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▲1、符合GB/T17906-2021《液压破拆工具通用技术条件》标准要求</w:t>
            </w:r>
            <w:r/>
          </w:p>
          <w:p>
            <w:pPr>
              <w:pStyle w:val="729"/>
              <w:rPr>
                <w:rFonts w:hint="eastAsia" w:ascii="楷体" w:hAnsi="楷体" w:eastAsia="楷体" w:cs="楷体"/>
                <w:b/>
                <w:bCs/>
                <w:sz w:val="24"/>
              </w:rPr>
            </w:pPr>
            <w:r>
              <w:rPr>
                <w:rFonts w:hint="eastAsia" w:ascii="楷体" w:hAnsi="楷体" w:eastAsia="楷体" w:cs="楷体"/>
                <w:b/>
                <w:bCs/>
                <w:sz w:val="24"/>
              </w:rPr>
              <w:t xml:space="preserve">液压机动泵：</w:t>
            </w:r>
            <w:r/>
          </w:p>
          <w:p>
            <w:pPr>
              <w:pStyle w:val="729"/>
              <w:rPr>
                <w:rFonts w:hint="eastAsia" w:ascii="楷体" w:hAnsi="楷体" w:eastAsia="楷体" w:cs="楷体"/>
                <w:sz w:val="24"/>
              </w:rPr>
            </w:pPr>
            <w:r>
              <w:rPr>
                <w:rFonts w:hint="eastAsia" w:ascii="楷体" w:hAnsi="楷体" w:eastAsia="楷体" w:cs="楷体"/>
                <w:sz w:val="24"/>
              </w:rPr>
              <w:t xml:space="preserve">2、额定工作转速≥3400rpm，额定功率≥2.2kW，转换压力≥5MPa，液压油油箱容积≥4L。</w:t>
            </w:r>
            <w:r/>
          </w:p>
          <w:p>
            <w:pPr>
              <w:pStyle w:val="729"/>
              <w:rPr>
                <w:rFonts w:hint="eastAsia" w:ascii="楷体" w:hAnsi="楷体" w:eastAsia="楷体" w:cs="楷体"/>
                <w:sz w:val="24"/>
              </w:rPr>
            </w:pPr>
            <w:r>
              <w:rPr>
                <w:rFonts w:hint="eastAsia" w:ascii="楷体" w:hAnsi="楷体" w:eastAsia="楷体" w:cs="楷体"/>
                <w:sz w:val="24"/>
              </w:rPr>
              <w:t xml:space="preserve">3、额定工作压力≥72MPa，高压流量≥0</w:t>
            </w:r>
            <w:r>
              <w:rPr>
                <w:rFonts w:hint="eastAsia" w:ascii="楷体" w:hAnsi="楷体" w:eastAsia="楷体" w:cs="楷体"/>
                <w:sz w:val="24"/>
              </w:rPr>
              <w:t xml:space="preserve">.75 L/min，低压流量≥3L/min。</w:t>
            </w:r>
            <w:r/>
          </w:p>
          <w:p>
            <w:pPr>
              <w:pStyle w:val="729"/>
              <w:rPr>
                <w:rFonts w:hint="eastAsia" w:ascii="楷体" w:hAnsi="楷体" w:eastAsia="楷体" w:cs="楷体"/>
                <w:sz w:val="24"/>
              </w:rPr>
            </w:pPr>
            <w:r>
              <w:rPr>
                <w:rFonts w:hint="eastAsia" w:ascii="楷体" w:hAnsi="楷体" w:eastAsia="楷体" w:cs="楷体"/>
                <w:sz w:val="24"/>
              </w:rPr>
              <w:t xml:space="preserve">4、备专用单接口软管2根（5米一根）。</w:t>
            </w:r>
            <w:r/>
          </w:p>
          <w:p>
            <w:pPr>
              <w:pStyle w:val="729"/>
              <w:rPr>
                <w:rFonts w:hint="eastAsia" w:ascii="楷体" w:hAnsi="楷体" w:eastAsia="楷体" w:cs="楷体"/>
                <w:b/>
                <w:bCs/>
                <w:sz w:val="24"/>
              </w:rPr>
            </w:pPr>
            <w:r>
              <w:rPr>
                <w:rFonts w:hint="eastAsia" w:ascii="楷体" w:hAnsi="楷体" w:eastAsia="楷体" w:cs="楷体"/>
                <w:b/>
                <w:bCs/>
                <w:sz w:val="24"/>
              </w:rPr>
              <w:t xml:space="preserve">液压剪切器：</w:t>
            </w:r>
            <w:r/>
          </w:p>
          <w:p>
            <w:pPr>
              <w:pStyle w:val="729"/>
              <w:rPr>
                <w:rFonts w:hint="eastAsia" w:ascii="楷体" w:hAnsi="楷体" w:eastAsia="楷体" w:cs="楷体"/>
                <w:sz w:val="24"/>
              </w:rPr>
            </w:pPr>
            <w:r>
              <w:rPr>
                <w:rFonts w:hint="eastAsia" w:ascii="楷体" w:hAnsi="楷体" w:eastAsia="楷体" w:cs="楷体"/>
                <w:sz w:val="24"/>
              </w:rPr>
              <w:t xml:space="preserve">5、开距离≥160mm，剪断能力（Q235材料）≥ф30mm圆钢≥15mm厚度钢板，最大剪切力≥250kN，额定工作压力≥ 72 MPa。</w:t>
            </w:r>
            <w:r/>
          </w:p>
          <w:p>
            <w:pPr>
              <w:pStyle w:val="729"/>
              <w:rPr>
                <w:rFonts w:hint="eastAsia" w:ascii="楷体" w:hAnsi="楷体" w:eastAsia="楷体" w:cs="楷体"/>
                <w:b/>
                <w:bCs/>
                <w:sz w:val="24"/>
              </w:rPr>
            </w:pPr>
            <w:r>
              <w:rPr>
                <w:rFonts w:hint="eastAsia" w:ascii="楷体" w:hAnsi="楷体" w:eastAsia="楷体" w:cs="楷体"/>
                <w:b/>
                <w:bCs/>
                <w:sz w:val="24"/>
              </w:rPr>
              <w:t xml:space="preserve">液压扩张器：</w:t>
            </w:r>
            <w:r/>
          </w:p>
          <w:p>
            <w:pPr>
              <w:pStyle w:val="729"/>
              <w:rPr>
                <w:rFonts w:hint="eastAsia" w:ascii="楷体" w:hAnsi="楷体" w:eastAsia="楷体" w:cs="楷体"/>
                <w:sz w:val="24"/>
              </w:rPr>
            </w:pPr>
            <w:r>
              <w:rPr>
                <w:rFonts w:hint="eastAsia" w:ascii="楷体" w:hAnsi="楷体" w:eastAsia="楷体" w:cs="楷体"/>
                <w:sz w:val="24"/>
              </w:rPr>
              <w:t xml:space="preserve">6、额定工作压力≥72MPa，最大扩张力≥240kN，牵拉距离≥600mm，最大牵引力≥77kN。</w:t>
            </w:r>
            <w:r/>
          </w:p>
          <w:p>
            <w:pPr>
              <w:pStyle w:val="729"/>
              <w:rPr>
                <w:rFonts w:hint="eastAsia" w:ascii="楷体" w:hAnsi="楷体" w:eastAsia="楷体" w:cs="楷体"/>
                <w:b/>
                <w:bCs/>
                <w:sz w:val="24"/>
              </w:rPr>
            </w:pPr>
            <w:r>
              <w:rPr>
                <w:rFonts w:hint="eastAsia" w:ascii="楷体" w:hAnsi="楷体" w:eastAsia="楷体" w:cs="楷体"/>
                <w:b/>
                <w:bCs/>
                <w:sz w:val="24"/>
              </w:rPr>
              <w:t xml:space="preserve">液压剪扩器：</w:t>
            </w:r>
            <w:r/>
          </w:p>
          <w:p>
            <w:pPr>
              <w:pStyle w:val="729"/>
              <w:rPr>
                <w:rFonts w:hint="eastAsia" w:ascii="楷体" w:hAnsi="楷体" w:eastAsia="楷体" w:cs="楷体"/>
                <w:sz w:val="24"/>
              </w:rPr>
            </w:pPr>
            <w:r>
              <w:rPr>
                <w:rFonts w:hint="eastAsia" w:ascii="楷体" w:hAnsi="楷体" w:eastAsia="楷体" w:cs="楷体"/>
                <w:sz w:val="24"/>
              </w:rPr>
              <w:t xml:space="preserve">7、额定工作压力≥72MPa，扩张距离≥300mm，最大剪断能力（Q235材料）≥ф30mm圆钢≥15mm厚度钢板；最大牵引力≥76kN；</w:t>
            </w:r>
            <w:r/>
          </w:p>
          <w:p>
            <w:pPr>
              <w:pStyle w:val="729"/>
              <w:rPr>
                <w:rFonts w:hint="eastAsia" w:ascii="楷体" w:hAnsi="楷体" w:eastAsia="楷体" w:cs="楷体"/>
                <w:sz w:val="24"/>
              </w:rPr>
            </w:pPr>
            <w:r>
              <w:rPr>
                <w:rFonts w:hint="eastAsia" w:ascii="楷体" w:hAnsi="楷体" w:eastAsia="楷体" w:cs="楷体"/>
                <w:sz w:val="24"/>
              </w:rPr>
              <w:t xml:space="preserve">液压开缝器</w:t>
            </w:r>
            <w:r/>
          </w:p>
          <w:p>
            <w:pPr>
              <w:pStyle w:val="729"/>
              <w:rPr>
                <w:rFonts w:hint="eastAsia" w:ascii="楷体" w:hAnsi="楷体" w:eastAsia="楷体" w:cs="楷体"/>
                <w:sz w:val="24"/>
              </w:rPr>
            </w:pPr>
            <w:r>
              <w:rPr>
                <w:rFonts w:hint="eastAsia" w:ascii="楷体" w:hAnsi="楷体" w:eastAsia="楷体" w:cs="楷体"/>
                <w:sz w:val="24"/>
              </w:rPr>
              <w:t xml:space="preserve">8、工作压力≥72MPa，最小楔入缝隙≤5mm；开启力≥250kN，开启距离≥55mm。</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含液压扩张器、剪扩钳、剪切器、开具器、输出泵</w:t>
            </w:r>
            <w:r/>
          </w:p>
        </w:tc>
      </w:tr>
      <w:tr>
        <w:trPr>
          <w:trHeight w:val="315"/>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21</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手动破拆工具组</w:t>
            </w:r>
            <w:r/>
          </w:p>
        </w:tc>
        <w:tc>
          <w:tcPr>
            <w:tcW w:w="952"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1、应符合手动破拆工具组通用技术相关标准。整套工具至少包括：伸缩冲击撬杆、撬锁拔钉器、金属切割器、鹰嘴撬、撬斧、V 型凿、平凿；配备硬质防潮包装箱1个。</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1026"/>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22</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冲击钻</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1、电压220V，频率50Hz，电流7.2A；功率输入1500W，三轴震动值12m/s</w:t>
            </w:r>
            <w:r>
              <w:rPr>
                <w:rFonts w:ascii="Calibri" w:hAnsi="Calibri" w:eastAsia="楷体" w:cs="Calibri"/>
                <w:sz w:val="24"/>
              </w:rPr>
              <w:t xml:space="preserve">²</w:t>
            </w:r>
            <w:r>
              <w:rPr>
                <w:rFonts w:hint="eastAsia" w:ascii="楷体" w:hAnsi="楷体" w:eastAsia="楷体" w:cs="楷体"/>
                <w:sz w:val="24"/>
              </w:rPr>
              <w:t xml:space="preserve">，锤击频率2040bpm，锤击能量25J；声压级86dB(A)，</w:t>
            </w:r>
            <w:r>
              <w:rPr>
                <w:rFonts w:hint="eastAsia" w:ascii="楷体" w:hAnsi="楷体" w:eastAsia="楷体" w:cs="楷体"/>
                <w:sz w:val="24"/>
              </w:rPr>
              <w:t xml:space="preserve">声功率级100dB(A)。</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把</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71"/>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23</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凿岩机</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tabs>
                <w:tab w:val="left" w:pos="420" w:leader="none"/>
              </w:tabs>
              <w:rPr>
                <w:rFonts w:hint="eastAsia" w:ascii="楷体" w:hAnsi="楷体" w:eastAsia="楷体" w:cs="楷体"/>
                <w:sz w:val="24"/>
              </w:rPr>
            </w:pPr>
            <w:r>
              <w:rPr>
                <w:rFonts w:hint="eastAsia" w:ascii="楷体" w:hAnsi="楷体" w:eastAsia="楷体" w:cs="楷体"/>
                <w:sz w:val="24"/>
              </w:rPr>
              <w:t xml:space="preserve">最大钻孔直径：混凝土≥24毫米，钢材≥13 毫米，木材≥28毫米；功率：≥2KW；噪音≤110db；转速≥8000r/min；冲击频率≥1600次/min。</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套</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1541"/>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24</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p>
            <w:pPr>
              <w:pStyle w:val="729"/>
              <w:jc w:val="center"/>
              <w:rPr>
                <w:rFonts w:hint="eastAsia" w:ascii="楷体" w:hAnsi="楷体" w:eastAsia="楷体" w:cs="楷体"/>
                <w:sz w:val="24"/>
              </w:rPr>
            </w:pPr>
            <w:r>
              <w:rPr>
                <w:rFonts w:hint="eastAsia" w:ascii="楷体" w:hAnsi="楷体" w:eastAsia="楷体" w:cs="楷体"/>
                <w:sz w:val="24"/>
              </w:rPr>
              <w:t xml:space="preserve">手持电台</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b/>
                <w:bCs/>
                <w:color w:val="184bf0"/>
                <w:sz w:val="24"/>
              </w:rPr>
            </w:pPr>
            <w:r>
              <w:rPr>
                <w:rFonts w:hint="eastAsia" w:ascii="楷体" w:hAnsi="楷体" w:eastAsia="楷体" w:cs="楷体"/>
                <w:b/>
                <w:bCs/>
                <w:color w:val="184bf0"/>
                <w:sz w:val="24"/>
              </w:rPr>
              <w:t xml:space="preserve">★1、提供中华人民共和国工业和信息化部颁发的《无线电发射设备型号核准证》（型号核准证证书必须在有效期内），通过“中国国家强制性产品认证（CCC）”，提供证书扫描件并加盖制造商公章；</w:t>
            </w:r>
            <w:r/>
          </w:p>
          <w:p>
            <w:pPr>
              <w:pStyle w:val="729"/>
              <w:rPr>
                <w:rFonts w:hint="eastAsia" w:ascii="楷体" w:hAnsi="楷体" w:eastAsia="楷体" w:cs="楷体"/>
                <w:sz w:val="24"/>
              </w:rPr>
            </w:pPr>
            <w:r>
              <w:rPr>
                <w:rFonts w:hint="eastAsia" w:ascii="楷体" w:hAnsi="楷体" w:eastAsia="楷体" w:cs="楷体"/>
                <w:sz w:val="24"/>
              </w:rPr>
              <w:t xml:space="preserve">2、支持标准DMR常规制式，数模兼容； </w:t>
            </w:r>
            <w:r/>
          </w:p>
          <w:p>
            <w:pPr>
              <w:pStyle w:val="729"/>
              <w:rPr>
                <w:rFonts w:hint="eastAsia" w:ascii="楷体" w:hAnsi="楷体" w:eastAsia="楷体" w:cs="楷体"/>
                <w:sz w:val="24"/>
              </w:rPr>
            </w:pPr>
            <w:r>
              <w:rPr>
                <w:rFonts w:hint="eastAsia" w:ascii="楷体" w:hAnsi="楷体" w:eastAsia="楷体" w:cs="楷体"/>
                <w:sz w:val="24"/>
              </w:rPr>
              <w:t xml:space="preserve">▲3、易燃易爆环境中，防爆等级不低于Ex ib IIB T4 Gb，提供防爆合格证；</w:t>
            </w:r>
            <w:r/>
          </w:p>
          <w:p>
            <w:pPr>
              <w:pStyle w:val="729"/>
              <w:rPr>
                <w:rFonts w:hint="eastAsia" w:ascii="楷体" w:hAnsi="楷体" w:eastAsia="楷体" w:cs="楷体"/>
                <w:sz w:val="24"/>
              </w:rPr>
            </w:pPr>
            <w:r>
              <w:rPr>
                <w:rFonts w:hint="eastAsia" w:ascii="楷体" w:hAnsi="楷体" w:eastAsia="楷体" w:cs="楷体"/>
                <w:sz w:val="24"/>
              </w:rPr>
              <w:t xml:space="preserve">▲4、易燃易爆粉尘环境中，防爆等级不低于Ex ib IIIC T130℃，提供防爆合格证；</w:t>
            </w:r>
            <w:r/>
          </w:p>
          <w:p>
            <w:pPr>
              <w:pStyle w:val="729"/>
              <w:rPr>
                <w:rFonts w:hint="eastAsia" w:ascii="楷体" w:hAnsi="楷体" w:eastAsia="楷体" w:cs="楷体"/>
                <w:sz w:val="24"/>
              </w:rPr>
            </w:pPr>
            <w:r>
              <w:rPr>
                <w:rFonts w:hint="eastAsia" w:ascii="楷体" w:hAnsi="楷体" w:eastAsia="楷体" w:cs="楷体"/>
                <w:sz w:val="24"/>
              </w:rPr>
              <w:t xml:space="preserve">▲5、对讲机须具备良好的静电放电抗扰度性能，满足GB/T 17626.2-2018要求；</w:t>
            </w:r>
            <w:r/>
          </w:p>
          <w:p>
            <w:pPr>
              <w:pStyle w:val="729"/>
              <w:rPr>
                <w:rFonts w:hint="eastAsia" w:ascii="楷体" w:hAnsi="楷体" w:eastAsia="楷体" w:cs="楷体"/>
                <w:sz w:val="24"/>
              </w:rPr>
            </w:pPr>
            <w:r>
              <w:rPr>
                <w:rFonts w:hint="eastAsia" w:ascii="楷体" w:hAnsi="楷体" w:eastAsia="楷体" w:cs="楷体"/>
                <w:sz w:val="24"/>
              </w:rPr>
              <w:t xml:space="preserve">6、大彩屏显示，屏幕尺寸≥1.7英寸；组呼信道≥512，组群/区域数量≥32； </w:t>
            </w:r>
            <w:r/>
          </w:p>
          <w:p>
            <w:pPr>
              <w:pStyle w:val="729"/>
              <w:rPr>
                <w:rFonts w:hint="eastAsia" w:ascii="楷体" w:hAnsi="楷体" w:eastAsia="楷体" w:cs="楷体"/>
                <w:sz w:val="24"/>
              </w:rPr>
            </w:pPr>
            <w:r>
              <w:rPr>
                <w:rFonts w:hint="eastAsia" w:ascii="楷体" w:hAnsi="楷体" w:eastAsia="楷体" w:cs="楷体"/>
                <w:sz w:val="24"/>
              </w:rPr>
              <w:t xml:space="preserve">7、具备键盘锁定功能；具备开机密码、编程密码功能；具备语音加密功能； 具备优先通话功能，抢占话语权，以便进行新的语音或数据业务； </w:t>
            </w:r>
            <w:r/>
          </w:p>
          <w:p>
            <w:pPr>
              <w:pStyle w:val="729"/>
              <w:rPr>
                <w:rFonts w:hint="eastAsia" w:ascii="楷体" w:hAnsi="楷体" w:eastAsia="楷体" w:cs="楷体"/>
                <w:sz w:val="24"/>
              </w:rPr>
            </w:pPr>
            <w:r>
              <w:rPr>
                <w:rFonts w:hint="eastAsia" w:ascii="楷体" w:hAnsi="楷体" w:eastAsia="楷体" w:cs="楷体"/>
                <w:sz w:val="24"/>
              </w:rPr>
              <w:t xml:space="preserve">8、具备可选单独工作触发告警功能、可选倒放报警功能； 可选400小时录音</w:t>
            </w:r>
            <w:r>
              <w:rPr>
                <w:rFonts w:hint="eastAsia" w:ascii="楷体" w:hAnsi="楷体" w:eastAsia="楷体" w:cs="楷体"/>
                <w:sz w:val="24"/>
              </w:rPr>
              <w:t xml:space="preserve">功能；可选定位功能；</w:t>
            </w:r>
            <w:r/>
          </w:p>
          <w:p>
            <w:pPr>
              <w:pStyle w:val="729"/>
              <w:rPr>
                <w:rFonts w:hint="eastAsia" w:ascii="楷体" w:hAnsi="楷体" w:eastAsia="楷体" w:cs="楷体"/>
                <w:sz w:val="24"/>
              </w:rPr>
            </w:pPr>
            <w:r>
              <w:rPr>
                <w:rFonts w:hint="eastAsia" w:ascii="楷体" w:hAnsi="楷体" w:eastAsia="楷体" w:cs="楷体"/>
                <w:sz w:val="24"/>
              </w:rPr>
              <w:t xml:space="preserve">9、支持手动编程功能，通过菜单配置至少能对接收频率、发射频率、信道名称、亚音频等进行手动编辑与修改； </w:t>
            </w:r>
            <w:r/>
          </w:p>
          <w:p>
            <w:pPr>
              <w:pStyle w:val="729"/>
              <w:rPr>
                <w:rFonts w:hint="eastAsia" w:ascii="楷体" w:hAnsi="楷体" w:eastAsia="楷体" w:cs="楷体"/>
                <w:sz w:val="24"/>
              </w:rPr>
            </w:pPr>
            <w:r>
              <w:rPr>
                <w:rFonts w:hint="eastAsia" w:ascii="楷体" w:hAnsi="楷体" w:eastAsia="楷体" w:cs="楷体"/>
                <w:sz w:val="24"/>
              </w:rPr>
              <w:t xml:space="preserve">10、支持TDMA直通双时隙功能，支持直通模式下同个频点的单呼、组呼、全呼业务，可配置语音优先级，至少支持3级优先级配置，支持强插和强拆功能； </w:t>
            </w:r>
            <w:r/>
          </w:p>
          <w:p>
            <w:pPr>
              <w:pStyle w:val="729"/>
              <w:rPr>
                <w:rFonts w:hint="eastAsia" w:ascii="楷体" w:hAnsi="楷体" w:eastAsia="楷体" w:cs="楷体"/>
                <w:sz w:val="24"/>
              </w:rPr>
            </w:pPr>
            <w:r>
              <w:rPr>
                <w:rFonts w:hint="eastAsia" w:ascii="楷体" w:hAnsi="楷体" w:eastAsia="楷体" w:cs="楷体"/>
                <w:sz w:val="24"/>
              </w:rPr>
              <w:t xml:space="preserve">11、</w:t>
            </w:r>
            <w:r>
              <w:rPr>
                <w:rFonts w:hint="eastAsia" w:ascii="楷体" w:hAnsi="楷体" w:eastAsia="楷体" w:cs="楷体"/>
                <w:color w:val="000000"/>
                <w:sz w:val="24"/>
              </w:rPr>
              <w:t xml:space="preserve">配备≥2400mAh 电池</w:t>
            </w:r>
            <w:r>
              <w:rPr>
                <w:rFonts w:hint="eastAsia" w:ascii="楷体" w:hAnsi="楷体" w:eastAsia="楷体" w:cs="楷体"/>
                <w:sz w:val="24"/>
              </w:rPr>
              <w:t xml:space="preserve">；具备手电功能；重量（带标配电池）：≤328g；</w:t>
            </w:r>
            <w:r/>
          </w:p>
          <w:p>
            <w:pPr>
              <w:pStyle w:val="729"/>
              <w:rPr>
                <w:rFonts w:hint="eastAsia" w:ascii="楷体" w:hAnsi="楷体" w:eastAsia="楷体" w:cs="楷体"/>
                <w:sz w:val="24"/>
              </w:rPr>
            </w:pPr>
            <w:r>
              <w:rPr>
                <w:rFonts w:hint="eastAsia" w:ascii="楷体" w:hAnsi="楷体" w:eastAsia="楷体" w:cs="楷体"/>
                <w:sz w:val="24"/>
              </w:rPr>
              <w:t xml:space="preserve">12、频率范围：UHF：370-400 MHz；信道间隔：</w:t>
            </w:r>
            <w:r>
              <w:rPr>
                <w:rFonts w:hint="eastAsia" w:ascii="楷体" w:hAnsi="楷体" w:eastAsia="楷体" w:cs="楷体"/>
                <w:color w:val="000000"/>
                <w:sz w:val="24"/>
              </w:rPr>
              <w:t xml:space="preserve">12.5KHz/25KHz </w:t>
            </w:r>
            <w:r>
              <w:rPr>
                <w:rFonts w:hint="eastAsia" w:ascii="楷体" w:hAnsi="楷体" w:eastAsia="楷体" w:cs="楷体"/>
                <w:sz w:val="24"/>
              </w:rPr>
              <w:t xml:space="preserve">工作电压≥7.4V 频率稳定度：±1.5ppm  发射指标: 输出功率：≤3W   邻道功率：≤-60dB  音频失真：≤3%；接收指标： 数字接收灵敏度：≤0.25μV/BER5%  邻道选择性：≥60dB  互调：≥60dB。</w:t>
            </w:r>
            <w:r/>
          </w:p>
          <w:p>
            <w:pPr>
              <w:pStyle w:val="729"/>
              <w:rPr>
                <w:rFonts w:hint="eastAsia" w:ascii="楷体" w:hAnsi="楷体" w:eastAsia="楷体" w:cs="楷体"/>
                <w:sz w:val="24"/>
              </w:rPr>
            </w:pPr>
            <w:r>
              <w:rPr>
                <w:rFonts w:hint="eastAsia" w:ascii="楷体" w:hAnsi="楷体" w:eastAsia="楷体" w:cs="楷体"/>
                <w:sz w:val="24"/>
              </w:rPr>
              <w:t xml:space="preserve">▲13、环境指标：工作温度范围：-20℃～+60℃ 储存温度范围：-30℃～+85℃ 防尘防水：≥IP67</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10</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286"/>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25</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bookmarkStart w:id="288" w:name="OLE_LINK2"/>
            <w:r>
              <w:rPr>
                <w:rFonts w:hint="eastAsia" w:ascii="楷体" w:hAnsi="楷体" w:eastAsia="楷体" w:cs="楷体"/>
                <w:sz w:val="24"/>
              </w:rPr>
              <w:t xml:space="preserve">卫星电话</w:t>
            </w:r>
            <w:bookmarkEnd w:id="288"/>
            <w:r>
              <w:rPr>
                <w:rFonts w:hint="eastAsia" w:ascii="楷体" w:hAnsi="楷体" w:eastAsia="楷体" w:cs="楷体"/>
                <w:sz w:val="24"/>
              </w:rPr>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color w:val="184bf0"/>
                <w:sz w:val="24"/>
              </w:rPr>
            </w:pPr>
            <w:r>
              <w:rPr>
                <w:rFonts w:hint="eastAsia" w:ascii="楷体" w:hAnsi="楷体" w:eastAsia="楷体" w:cs="楷体"/>
                <w:b/>
                <w:bCs/>
                <w:color w:val="184bf0"/>
                <w:sz w:val="24"/>
              </w:rPr>
              <w:t xml:space="preserve">★1.提供国家强制性产品认证证书、无线电发射设备型号核准证、电信设备进网试用批文（提供证书扫描件并加盖制造商公章）；</w:t>
            </w:r>
            <w:r>
              <w:rPr>
                <w:rFonts w:hint="eastAsia" w:ascii="楷体" w:hAnsi="楷体" w:eastAsia="楷体" w:cs="楷体"/>
                <w:color w:val="184bf0"/>
                <w:sz w:val="24"/>
              </w:rPr>
            </w:r>
            <w:r/>
          </w:p>
          <w:p>
            <w:pPr>
              <w:pStyle w:val="729"/>
              <w:rPr>
                <w:rFonts w:hint="eastAsia" w:ascii="楷体" w:hAnsi="楷体" w:eastAsia="楷体" w:cs="楷体"/>
                <w:sz w:val="24"/>
              </w:rPr>
            </w:pPr>
            <w:r>
              <w:rPr>
                <w:rFonts w:hint="eastAsia" w:ascii="楷体" w:hAnsi="楷体" w:eastAsia="楷体" w:cs="楷体"/>
                <w:sz w:val="24"/>
              </w:rPr>
              <w:t xml:space="preserve">2.网络制式：支持5G全网通+天通卫星双卡双待，支持国产天通一号卫星双向短信和语音通话；支持P</w:t>
            </w:r>
            <w:r>
              <w:rPr>
                <w:rFonts w:hint="eastAsia" w:ascii="楷体" w:hAnsi="楷体" w:eastAsia="楷体" w:cs="楷体"/>
                <w:sz w:val="24"/>
              </w:rPr>
              <w:t xml:space="preserve">OC对讲；带智能降噪功能；</w:t>
            </w:r>
            <w:r/>
          </w:p>
          <w:p>
            <w:pPr>
              <w:pStyle w:val="729"/>
              <w:rPr>
                <w:rFonts w:hint="eastAsia" w:ascii="楷体" w:hAnsi="楷体" w:eastAsia="楷体" w:cs="楷体"/>
                <w:sz w:val="24"/>
              </w:rPr>
            </w:pPr>
            <w:r>
              <w:rPr>
                <w:rFonts w:hint="eastAsia" w:ascii="楷体" w:hAnsi="楷体" w:eastAsia="楷体" w:cs="楷体"/>
                <w:sz w:val="24"/>
              </w:rPr>
              <w:t xml:space="preserve">3.支持wifi5G和2.4G双频;蓝牙5.0；</w:t>
            </w:r>
            <w:r/>
          </w:p>
          <w:p>
            <w:pPr>
              <w:pStyle w:val="729"/>
              <w:rPr>
                <w:rFonts w:hint="eastAsia" w:ascii="楷体" w:hAnsi="楷体" w:eastAsia="楷体" w:cs="楷体"/>
                <w:sz w:val="24"/>
              </w:rPr>
            </w:pPr>
            <w:r>
              <w:rPr>
                <w:rFonts w:hint="eastAsia" w:ascii="楷体" w:hAnsi="楷体" w:eastAsia="楷体" w:cs="楷体"/>
                <w:sz w:val="24"/>
              </w:rPr>
              <w:t xml:space="preserve">4.硬件接口:TF卡槽，天通SIM卡槽，全网通SIM卡槽，USB Type-c,接口，支持M6外接接口；</w:t>
            </w:r>
            <w:r/>
          </w:p>
          <w:p>
            <w:pPr>
              <w:pStyle w:val="729"/>
              <w:rPr>
                <w:rFonts w:hint="eastAsia" w:ascii="楷体" w:hAnsi="楷体" w:eastAsia="楷体" w:cs="楷体"/>
                <w:sz w:val="24"/>
              </w:rPr>
            </w:pPr>
            <w:r>
              <w:rPr>
                <w:rFonts w:hint="eastAsia" w:ascii="楷体" w:hAnsi="楷体" w:eastAsia="楷体" w:cs="楷体"/>
                <w:sz w:val="24"/>
              </w:rPr>
              <w:t xml:space="preserve">5.定位:支持北斗芯片硬件单北斗定位功能（提供单北斗终端检测证书)；</w:t>
            </w:r>
            <w:r>
              <w:rPr>
                <w:rFonts w:hint="eastAsia" w:ascii="楷体" w:hAnsi="楷体" w:eastAsia="楷体" w:cs="楷体"/>
                <w:color w:val="ee0000"/>
                <w:sz w:val="24"/>
              </w:rPr>
              <w:t xml:space="preserve"> </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6.卫星天线:支持可拆卸，支持更换手持和车载全向天线；</w:t>
            </w:r>
            <w:r/>
          </w:p>
          <w:p>
            <w:pPr>
              <w:pStyle w:val="729"/>
              <w:rPr>
                <w:rFonts w:hint="eastAsia" w:ascii="楷体" w:hAnsi="楷体" w:eastAsia="楷体" w:cs="楷体"/>
                <w:sz w:val="24"/>
              </w:rPr>
            </w:pPr>
            <w:r>
              <w:rPr>
                <w:rFonts w:hint="eastAsia" w:ascii="楷体" w:hAnsi="楷体" w:eastAsia="楷体" w:cs="楷体"/>
                <w:sz w:val="24"/>
              </w:rPr>
              <w:t xml:space="preserve">7.CPU:八核，操作系统:Android 14.0及以上；</w:t>
            </w:r>
            <w:r/>
          </w:p>
          <w:p>
            <w:pPr>
              <w:pStyle w:val="729"/>
              <w:rPr>
                <w:rFonts w:hint="eastAsia" w:ascii="楷体" w:hAnsi="楷体" w:eastAsia="楷体" w:cs="楷体"/>
                <w:sz w:val="24"/>
              </w:rPr>
            </w:pPr>
            <w:r>
              <w:rPr>
                <w:rFonts w:hint="eastAsia" w:ascii="楷体" w:hAnsi="楷体" w:eastAsia="楷体" w:cs="楷体"/>
                <w:sz w:val="24"/>
              </w:rPr>
              <w:t xml:space="preserve">8.显示单元:≥6.0英寸高清屏，多点触摸；</w:t>
            </w:r>
            <w:r/>
          </w:p>
          <w:p>
            <w:pPr>
              <w:pStyle w:val="729"/>
              <w:rPr>
                <w:rFonts w:hint="eastAsia" w:ascii="楷体" w:hAnsi="楷体" w:eastAsia="楷体" w:cs="楷体"/>
                <w:sz w:val="24"/>
              </w:rPr>
            </w:pPr>
            <w:r>
              <w:rPr>
                <w:rFonts w:hint="eastAsia" w:ascii="楷体" w:hAnsi="楷体" w:eastAsia="楷体" w:cs="楷体"/>
                <w:sz w:val="24"/>
              </w:rPr>
              <w:t xml:space="preserve">9.内存:≥8GB RAM+ 256GB ROM</w:t>
            </w:r>
            <w:r/>
          </w:p>
          <w:p>
            <w:pPr>
              <w:pStyle w:val="729"/>
              <w:rPr>
                <w:rFonts w:hint="eastAsia" w:ascii="楷体" w:hAnsi="楷体" w:eastAsia="楷体" w:cs="楷体"/>
                <w:sz w:val="24"/>
              </w:rPr>
            </w:pPr>
            <w:r>
              <w:rPr>
                <w:rFonts w:hint="eastAsia" w:ascii="楷体" w:hAnsi="楷体" w:eastAsia="楷体" w:cs="楷体"/>
                <w:sz w:val="24"/>
              </w:rPr>
              <w:t xml:space="preserve">▲10.摄像头:前摄≥2400万像素，后摄≥6400 万像素；</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11.电池容量:≥8000mAh(TYPE-C直充，支持磁吸充电)；</w:t>
            </w:r>
            <w:r/>
          </w:p>
          <w:p>
            <w:pPr>
              <w:pStyle w:val="729"/>
              <w:rPr>
                <w:rFonts w:hint="eastAsia" w:ascii="楷体" w:hAnsi="楷体" w:eastAsia="楷体" w:cs="楷体"/>
                <w:sz w:val="24"/>
              </w:rPr>
            </w:pPr>
            <w:r>
              <w:rPr>
                <w:rFonts w:hint="eastAsia" w:ascii="楷体" w:hAnsi="楷体" w:eastAsia="楷体" w:cs="楷体"/>
                <w:sz w:val="24"/>
              </w:rPr>
              <w:t xml:space="preserve">▲12.防护等级≥IP68。</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5</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p>
            <w:pPr>
              <w:pStyle w:val="729"/>
              <w:jc w:val="center"/>
              <w:rPr>
                <w:rFonts w:hint="eastAsia" w:ascii="楷体" w:hAnsi="楷体" w:eastAsia="楷体" w:cs="楷体"/>
                <w:sz w:val="24"/>
              </w:rPr>
            </w:pPr>
            <w:r>
              <w:rPr>
                <w:rFonts w:hint="eastAsia" w:ascii="楷体" w:hAnsi="楷体" w:eastAsia="楷体" w:cs="楷体"/>
                <w:sz w:val="24"/>
              </w:rPr>
            </w:r>
            <w:r/>
          </w:p>
          <w:p>
            <w:pPr>
              <w:pStyle w:val="729"/>
              <w:jc w:val="center"/>
              <w:rPr>
                <w:rFonts w:hint="eastAsia" w:ascii="楷体" w:hAnsi="楷体" w:eastAsia="楷体" w:cs="楷体"/>
                <w:sz w:val="24"/>
              </w:rPr>
            </w:pPr>
            <w:r>
              <w:rPr>
                <w:rFonts w:hint="eastAsia" w:ascii="楷体" w:hAnsi="楷体" w:eastAsia="楷体" w:cs="楷体"/>
                <w:sz w:val="24"/>
              </w:rPr>
            </w:r>
            <w:r/>
          </w:p>
          <w:p>
            <w:pPr>
              <w:pStyle w:val="729"/>
              <w:jc w:val="center"/>
              <w:rPr>
                <w:rFonts w:hint="eastAsia" w:ascii="楷体" w:hAnsi="楷体" w:eastAsia="楷体" w:cs="楷体"/>
                <w:sz w:val="24"/>
              </w:rPr>
            </w:pPr>
            <w:r>
              <w:rPr>
                <w:rFonts w:hint="eastAsia" w:ascii="楷体" w:hAnsi="楷体" w:eastAsia="楷体" w:cs="楷体"/>
                <w:sz w:val="24"/>
              </w:rPr>
            </w:r>
            <w:r/>
          </w:p>
        </w:tc>
      </w:tr>
      <w:tr>
        <w:trPr>
          <w:trHeight w:val="310"/>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26</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移动发电机</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 10千瓦</w:t>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▲1、额定频率：≥50Hz 额定输出功率：≥10KVA  最大输出功率：≥10.5KVA 功率因素：≥0.8  额定电压：230/400V  相数：三相电机</w:t>
            </w:r>
            <w:r>
              <w:rPr>
                <w:rFonts w:hint="eastAsia" w:ascii="楷体" w:hAnsi="楷体" w:eastAsia="楷体" w:cs="楷体"/>
                <w:color w:val="000000"/>
                <w:sz w:val="24"/>
              </w:rPr>
              <w:t xml:space="preserve">形式：手启动、电启动；</w:t>
            </w:r>
            <w:r>
              <w:rPr>
                <w:rFonts w:hint="eastAsia" w:ascii="楷体" w:hAnsi="楷体" w:eastAsia="楷体" w:cs="楷体"/>
                <w:sz w:val="24"/>
              </w:rPr>
              <w:t xml:space="preserve">7米处噪音：≤85dB</w:t>
            </w:r>
            <w:r/>
          </w:p>
          <w:p>
            <w:pPr>
              <w:pStyle w:val="729"/>
              <w:rPr>
                <w:rFonts w:hint="eastAsia" w:ascii="楷体" w:hAnsi="楷体" w:eastAsia="楷体" w:cs="楷体"/>
                <w:sz w:val="24"/>
              </w:rPr>
            </w:pPr>
            <w:r>
              <w:rPr>
                <w:rFonts w:hint="eastAsia" w:ascii="楷体" w:hAnsi="楷体" w:eastAsia="楷体" w:cs="楷体"/>
                <w:sz w:val="24"/>
              </w:rPr>
              <w:t xml:space="preserve">2、燃油箱容量：≥12.5L；动力形式：单缸、直立、四冲程；风冷柴油机；缸径*行程：≥95*75；油耗：≤320（</w:t>
            </w:r>
            <w:r>
              <w:rPr>
                <w:rFonts w:ascii="楷体" w:hAnsi="楷体" w:eastAsia="楷体" w:cs="楷体"/>
                <w:sz w:val="24"/>
              </w:rPr>
              <w:t xml:space="preserve">g/kw.h</w:t>
            </w:r>
            <w:r>
              <w:rPr>
                <w:rFonts w:hint="eastAsia" w:ascii="楷体" w:hAnsi="楷体" w:eastAsia="楷体" w:cs="楷体"/>
                <w:sz w:val="24"/>
              </w:rPr>
              <w:t xml:space="preserve">）；燃油系统：</w:t>
            </w:r>
            <w:r>
              <w:rPr>
                <w:rFonts w:hint="eastAsia" w:ascii="楷体" w:hAnsi="楷体" w:eastAsia="楷体" w:cs="楷体"/>
                <w:sz w:val="24"/>
              </w:rPr>
              <w:t xml:space="preserve">直喷式；蓄电池容量：12V 32Ah。</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418"/>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27</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移动照明灯组</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3千瓦</w:t>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1、可直接使用≥3kW发电机组供电，可接通220V电长时间照明；发电机组供电一次注满燃油连续工作时间≥8小时，</w:t>
            </w:r>
            <w:r/>
          </w:p>
          <w:p>
            <w:pPr>
              <w:pStyle w:val="729"/>
              <w:rPr>
                <w:rFonts w:hint="eastAsia" w:ascii="楷体" w:hAnsi="楷体" w:eastAsia="楷体" w:cs="楷体"/>
                <w:sz w:val="24"/>
              </w:rPr>
            </w:pPr>
            <w:r>
              <w:rPr>
                <w:rFonts w:hint="eastAsia" w:ascii="楷体" w:hAnsi="楷体" w:eastAsia="楷体" w:cs="楷体"/>
                <w:sz w:val="24"/>
              </w:rPr>
              <w:t xml:space="preserve">2、灯具：每个灯头单独可做上下、左右大角度调节旋转；4个500W卤钨灯头，可调节四个不同方向照明；具有5V-USB对外输出端口；</w:t>
            </w:r>
            <w:r/>
          </w:p>
          <w:p>
            <w:pPr>
              <w:pStyle w:val="729"/>
              <w:rPr>
                <w:rFonts w:hint="eastAsia" w:ascii="楷体" w:hAnsi="楷体" w:eastAsia="楷体" w:cs="楷体"/>
                <w:sz w:val="24"/>
              </w:rPr>
            </w:pPr>
            <w:r>
              <w:rPr>
                <w:rFonts w:hint="eastAsia" w:ascii="楷体" w:hAnsi="楷体" w:eastAsia="楷体" w:cs="楷体"/>
                <w:sz w:val="24"/>
              </w:rPr>
              <w:t xml:space="preserve">3、选用3节伸缩气缸作为升降调节方式，最大升起高度为≥4米，升降杆在升到最高点后，1h内下滑距离应不超过6cm；</w:t>
            </w:r>
            <w:r/>
          </w:p>
          <w:p>
            <w:pPr>
              <w:pStyle w:val="729"/>
              <w:rPr>
                <w:rFonts w:hint="eastAsia" w:ascii="楷体" w:hAnsi="楷体" w:eastAsia="楷体" w:cs="楷体"/>
                <w:sz w:val="24"/>
              </w:rPr>
            </w:pPr>
            <w:r>
              <w:rPr>
                <w:rFonts w:hint="eastAsia" w:ascii="楷体" w:hAnsi="楷体" w:eastAsia="楷体" w:cs="楷体"/>
                <w:sz w:val="24"/>
              </w:rPr>
              <w:t xml:space="preserve">4、灯</w:t>
            </w:r>
            <w:r>
              <w:rPr>
                <w:rFonts w:hint="eastAsia" w:ascii="楷体" w:hAnsi="楷体" w:eastAsia="楷体" w:cs="楷体"/>
                <w:color w:val="000000"/>
                <w:sz w:val="24"/>
              </w:rPr>
              <w:t xml:space="preserve">头外壳防护等级应符合GB/T 4208-2017  IP65要求；</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▲5、遥控器的最大无线控制距离≥65m；</w:t>
            </w:r>
            <w:r>
              <w:rPr>
                <w:rFonts w:hint="eastAsia" w:ascii="楷体" w:hAnsi="楷体" w:eastAsia="楷体" w:cs="楷体"/>
                <w:b/>
                <w:bCs/>
                <w:sz w:val="24"/>
              </w:rPr>
              <w:t xml:space="preserve">提供符合GB/T15211-2013标准的CMA检测报告。</w:t>
            </w:r>
            <w:r>
              <w:rPr>
                <w:rFonts w:hint="eastAsia" w:ascii="楷体" w:hAnsi="楷体" w:eastAsia="楷体" w:cs="楷体"/>
                <w:sz w:val="24"/>
              </w:rPr>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300"/>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28</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佩戴式头灯（防爆）</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1、电池应采用可充电锂电池，额定电压≥DC3.7V，额定容量≥1.9Ah；</w:t>
            </w:r>
            <w:r/>
          </w:p>
          <w:p>
            <w:pPr>
              <w:pStyle w:val="729"/>
              <w:rPr>
                <w:rFonts w:hint="eastAsia" w:ascii="楷体" w:hAnsi="楷体" w:eastAsia="楷体" w:cs="楷体"/>
                <w:sz w:val="24"/>
              </w:rPr>
            </w:pPr>
            <w:r>
              <w:rPr>
                <w:rFonts w:hint="eastAsia" w:ascii="楷体" w:hAnsi="楷体" w:eastAsia="楷体" w:cs="楷体"/>
                <w:sz w:val="24"/>
              </w:rPr>
              <w:t xml:space="preserve">2、强光放电时间≥4小时，工作光放电时间≥8小时；</w:t>
            </w:r>
            <w:r/>
          </w:p>
          <w:p>
            <w:pPr>
              <w:pStyle w:val="729"/>
              <w:rPr>
                <w:rFonts w:hint="eastAsia" w:ascii="楷体" w:hAnsi="楷体" w:eastAsia="楷体" w:cs="楷体"/>
                <w:sz w:val="24"/>
              </w:rPr>
            </w:pPr>
            <w:r>
              <w:rPr>
                <w:rFonts w:hint="eastAsia" w:ascii="楷体" w:hAnsi="楷体" w:eastAsia="楷体" w:cs="楷体"/>
                <w:sz w:val="24"/>
              </w:rPr>
              <w:t xml:space="preserve">3、灯具大按钮开关，开关处带红色信号方位灯；</w:t>
            </w:r>
            <w:r/>
          </w:p>
          <w:p>
            <w:pPr>
              <w:pStyle w:val="729"/>
              <w:rPr>
                <w:rFonts w:hint="eastAsia" w:ascii="楷体" w:hAnsi="楷体" w:eastAsia="楷体" w:cs="楷体"/>
                <w:sz w:val="24"/>
              </w:rPr>
            </w:pPr>
            <w:r>
              <w:rPr>
                <w:rFonts w:hint="eastAsia" w:ascii="楷体" w:hAnsi="楷体" w:eastAsia="楷体" w:cs="楷体"/>
                <w:sz w:val="24"/>
              </w:rPr>
              <w:t xml:space="preserve">4、电量显示采用不少于四段式电量显示设计，电量不足25%时，最后一段电量显示灯持续频闪提醒电量不足；</w:t>
            </w:r>
            <w:r/>
          </w:p>
          <w:p>
            <w:pPr>
              <w:pStyle w:val="729"/>
              <w:rPr>
                <w:rFonts w:hint="eastAsia" w:ascii="楷体" w:hAnsi="楷体" w:eastAsia="楷体" w:cs="楷体"/>
                <w:sz w:val="24"/>
              </w:rPr>
            </w:pPr>
            <w:r>
              <w:rPr>
                <w:rFonts w:hint="eastAsia" w:ascii="楷体" w:hAnsi="楷体" w:eastAsia="楷体" w:cs="楷体"/>
                <w:sz w:val="24"/>
              </w:rPr>
              <w:t xml:space="preserve">5、灯具强光最大照度应不小于800lx，弱光最大照度应不小于400lx； </w:t>
            </w:r>
            <w:r/>
          </w:p>
          <w:p>
            <w:pPr>
              <w:pStyle w:val="729"/>
              <w:rPr>
                <w:rFonts w:hint="eastAsia" w:ascii="楷体" w:hAnsi="楷体" w:eastAsia="楷体" w:cs="楷体"/>
                <w:sz w:val="24"/>
              </w:rPr>
            </w:pPr>
            <w:r>
              <w:rPr>
                <w:rFonts w:hint="eastAsia" w:ascii="楷体" w:hAnsi="楷体" w:eastAsia="楷体" w:cs="楷体"/>
                <w:sz w:val="24"/>
              </w:rPr>
              <w:t xml:space="preserve">6、采用全新Type-</w:t>
            </w:r>
            <w:r>
              <w:rPr>
                <w:rFonts w:hint="eastAsia" w:ascii="楷体" w:hAnsi="楷体" w:eastAsia="楷体" w:cs="楷体"/>
                <w:sz w:val="24"/>
              </w:rPr>
              <w:t xml:space="preserve">c充电口设计；</w:t>
            </w:r>
            <w:r/>
          </w:p>
          <w:p>
            <w:pPr>
              <w:pStyle w:val="729"/>
              <w:rPr>
                <w:rFonts w:hint="eastAsia" w:ascii="楷体" w:hAnsi="楷体" w:eastAsia="楷体" w:cs="楷体"/>
                <w:sz w:val="24"/>
              </w:rPr>
            </w:pPr>
            <w:r>
              <w:rPr>
                <w:rFonts w:hint="eastAsia" w:ascii="楷体" w:hAnsi="楷体" w:eastAsia="楷体" w:cs="楷体"/>
                <w:sz w:val="24"/>
              </w:rPr>
              <w:t xml:space="preserve">▲7、灯具的外壳防护等级为GB/T 4208-2008规定的IP66/IP68的要求； </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个</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20</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300"/>
        </w:trPr>
        <w:tc>
          <w:tcPr>
            <w:tcW w:w="61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29</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泛光灯</w:t>
            </w:r>
            <w:r/>
          </w:p>
        </w:tc>
        <w:tc>
          <w:tcPr>
            <w:tcW w:w="95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c>
          <w:tcPr>
            <w:tcW w:w="733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1、光源功率：≥2*12W；电池容量≥5Ah；充电时间：≤2.5h；</w:t>
            </w:r>
            <w:r/>
          </w:p>
          <w:p>
            <w:pPr>
              <w:pStyle w:val="729"/>
              <w:rPr>
                <w:rFonts w:hint="eastAsia" w:ascii="楷体" w:hAnsi="楷体" w:eastAsia="楷体" w:cs="楷体"/>
                <w:sz w:val="24"/>
              </w:rPr>
            </w:pPr>
            <w:r>
              <w:rPr>
                <w:rFonts w:hint="eastAsia" w:ascii="楷体" w:hAnsi="楷体" w:eastAsia="楷体" w:cs="楷体"/>
                <w:sz w:val="24"/>
              </w:rPr>
              <w:t xml:space="preserve">2、放电时间：常温状态下主光源强光模式放电时间（充满电放电至熄灭）≥5h，工作光模式放电时间（充满电放电至熄灭）≥10h，常温状态下主光源节能光模式放电时间（充满电放电至熄灭）≥120h，常温状态下侧壁泛光模式放电时间（充满电放电至熄灭）≥10h. </w:t>
            </w:r>
            <w:r/>
          </w:p>
          <w:p>
            <w:pPr>
              <w:pStyle w:val="729"/>
              <w:rPr>
                <w:rFonts w:hint="eastAsia" w:ascii="楷体" w:hAnsi="楷体" w:eastAsia="楷体" w:cs="楷体"/>
                <w:sz w:val="24"/>
              </w:rPr>
            </w:pPr>
            <w:r>
              <w:rPr>
                <w:rFonts w:hint="eastAsia" w:ascii="楷体" w:hAnsi="楷体" w:eastAsia="楷体" w:cs="楷体"/>
                <w:sz w:val="24"/>
              </w:rPr>
              <w:t xml:space="preserve">3、照度：主光源超强光模式5m处最大照度≥5900lx，主光源强光模式5m处最大照度≥5000lx，主光源工作光模式5m处最大照度≥2200lx</w:t>
            </w:r>
            <w:r/>
          </w:p>
          <w:p>
            <w:pPr>
              <w:pStyle w:val="729"/>
              <w:rPr>
                <w:rFonts w:hint="eastAsia" w:ascii="楷体" w:hAnsi="楷体" w:eastAsia="楷体" w:cs="楷体"/>
                <w:sz w:val="24"/>
              </w:rPr>
            </w:pPr>
            <w:r>
              <w:rPr>
                <w:rFonts w:hint="eastAsia" w:ascii="楷体" w:hAnsi="楷体" w:eastAsia="楷体" w:cs="楷体"/>
                <w:sz w:val="24"/>
              </w:rPr>
              <w:t xml:space="preserve">4、低电压状态下连续工作时间：强光≥110min；弱光≥150min。</w:t>
            </w:r>
            <w:r/>
          </w:p>
          <w:p>
            <w:pPr>
              <w:pStyle w:val="729"/>
              <w:rPr>
                <w:rFonts w:hint="eastAsia" w:ascii="楷体" w:hAnsi="楷体" w:eastAsia="楷体" w:cs="楷体"/>
                <w:sz w:val="24"/>
              </w:rPr>
            </w:pPr>
            <w:r>
              <w:rPr>
                <w:rFonts w:hint="eastAsia" w:ascii="楷体" w:hAnsi="楷体" w:eastAsia="楷体" w:cs="楷体"/>
                <w:sz w:val="24"/>
              </w:rPr>
              <w:t xml:space="preserve">5、提手处的显示屏具有电量可视化显示，可直观查看电池电量、剩余工作时间及灯具工作状态（强光、工作光、节能光、爆闪、SOS），同时显示屏设置后可以显示所属单位、人员信息。</w:t>
            </w:r>
            <w:r/>
          </w:p>
          <w:p>
            <w:pPr>
              <w:pStyle w:val="729"/>
              <w:rPr>
                <w:rFonts w:hint="eastAsia" w:ascii="楷体" w:hAnsi="楷体" w:eastAsia="楷体" w:cs="楷体"/>
                <w:sz w:val="24"/>
              </w:rPr>
            </w:pPr>
            <w:r>
              <w:rPr>
                <w:rFonts w:hint="eastAsia" w:ascii="楷体" w:hAnsi="楷体" w:eastAsia="楷体" w:cs="楷体"/>
                <w:sz w:val="24"/>
              </w:rPr>
              <w:t xml:space="preserve">6、对讲机抗干扰能力：对讲机频率范围：136MHz～ 174MHz；430 MHz～470MHz， </w:t>
            </w:r>
            <w:r/>
          </w:p>
          <w:p>
            <w:pPr>
              <w:pStyle w:val="729"/>
              <w:rPr>
                <w:rFonts w:hint="eastAsia" w:ascii="楷体" w:hAnsi="楷体" w:eastAsia="楷体" w:cs="楷体"/>
                <w:sz w:val="24"/>
              </w:rPr>
            </w:pPr>
            <w:r>
              <w:rPr>
                <w:rFonts w:hint="eastAsia" w:ascii="楷体" w:hAnsi="楷体" w:eastAsia="楷体" w:cs="楷体"/>
                <w:sz w:val="24"/>
              </w:rPr>
              <w:t xml:space="preserve">▲7、侧灯翻开角度≥100°，水平旋转角度≥270°</w:t>
            </w:r>
            <w:r/>
          </w:p>
          <w:p>
            <w:pPr>
              <w:pStyle w:val="729"/>
              <w:rPr>
                <w:rFonts w:hint="eastAsia" w:ascii="楷体" w:hAnsi="楷体" w:eastAsia="楷体" w:cs="楷体"/>
                <w:sz w:val="24"/>
              </w:rPr>
            </w:pPr>
            <w:r>
              <w:rPr>
                <w:rFonts w:hint="eastAsia" w:ascii="楷体" w:hAnsi="楷体" w:eastAsia="楷体" w:cs="楷体"/>
                <w:sz w:val="24"/>
              </w:rPr>
              <w:t xml:space="preserve">8、灯具的外壳防护等级</w:t>
            </w:r>
            <w:r>
              <w:rPr>
                <w:rFonts w:hint="eastAsia" w:ascii="楷体" w:hAnsi="楷体" w:eastAsia="楷体" w:cs="楷体"/>
                <w:sz w:val="24"/>
              </w:rPr>
              <w:t xml:space="preserve">GB/T 4208规定≥IP66/IP67。</w:t>
            </w:r>
            <w:r/>
          </w:p>
          <w:p>
            <w:pPr>
              <w:pStyle w:val="729"/>
              <w:rPr>
                <w:rFonts w:hint="eastAsia" w:ascii="楷体" w:hAnsi="楷体" w:eastAsia="楷体" w:cs="楷体"/>
                <w:sz w:val="24"/>
              </w:rPr>
            </w:pPr>
            <w:r>
              <w:rPr>
                <w:rFonts w:hint="eastAsia" w:ascii="楷体" w:hAnsi="楷体" w:eastAsia="楷体" w:cs="楷体"/>
                <w:sz w:val="24"/>
              </w:rPr>
              <w:t xml:space="preserve">▲9、灯具底部配备标准三脚架螺丝接口，附可拆卸三脚架组件或磁吸式安装配件，支持多种固定方式。</w:t>
            </w:r>
            <w:r/>
          </w:p>
        </w:tc>
        <w:tc>
          <w:tcPr>
            <w:tcW w:w="63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台</w:t>
            </w:r>
            <w:r/>
          </w:p>
        </w:tc>
        <w:tc>
          <w:tcPr>
            <w:tcW w:w="950"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3</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r>
        <w:trPr>
          <w:trHeight w:val="842"/>
        </w:trPr>
        <w:tc>
          <w:tcPr>
            <w:gridSpan w:val="6"/>
            <w:tcW w:w="12302"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核心产品：夏款抢险救援服、卫星电话</w:t>
            </w:r>
            <w:r/>
          </w:p>
        </w:tc>
        <w:tc>
          <w:tcPr>
            <w:tcW w:w="1387"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r>
            <w:r/>
          </w:p>
        </w:tc>
      </w:tr>
    </w:tbl>
    <w:p>
      <w:pPr>
        <w:pStyle w:val="729"/>
      </w:pPr>
      <w:r/>
      <w:r/>
    </w:p>
    <w:p>
      <w:pPr>
        <w:pStyle w:val="729"/>
        <w:rPr>
          <w:rFonts w:hint="eastAsia"/>
        </w:rPr>
      </w:pPr>
      <w:r>
        <w:rPr>
          <w:rFonts w:hint="eastAsia"/>
        </w:rPr>
      </w:r>
      <w:r/>
    </w:p>
    <w:p>
      <w:pPr>
        <w:pStyle w:val="796"/>
        <w:ind w:left="0" w:firstLine="0"/>
        <w:jc w:val="center"/>
        <w:rPr>
          <w:rFonts w:hint="eastAsia"/>
          <w:b/>
          <w:bCs/>
          <w:sz w:val="28"/>
          <w:szCs w:val="28"/>
        </w:rPr>
      </w:pPr>
      <w:r/>
      <w:bookmarkEnd w:id="287"/>
      <w:r>
        <w:rPr>
          <w:rFonts w:hint="eastAsia"/>
          <w:b/>
          <w:bCs/>
          <w:sz w:val="28"/>
          <w:szCs w:val="28"/>
        </w:rPr>
        <w:t xml:space="preserve">武进区2025年应急生活物资和地震地质灾害物资采购清单（02包）</w:t>
      </w:r>
      <w:r>
        <w:rPr>
          <w:rFonts w:hint="eastAsia"/>
          <w:b/>
          <w:bCs/>
          <w:sz w:val="28"/>
          <w:szCs w:val="28"/>
        </w:rPr>
      </w:r>
      <w:r/>
    </w:p>
    <w:tbl>
      <w:tblPr>
        <w:tblW w:w="139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1734"/>
        <w:gridCol w:w="9658"/>
        <w:gridCol w:w="708"/>
        <w:gridCol w:w="709"/>
      </w:tblGrid>
      <w:tr>
        <w:trPr>
          <w:trHeight w:val="522"/>
        </w:trPr>
        <w:tc>
          <w:tcPr>
            <w:gridSpan w:val="6"/>
            <w:tcBorders>
              <w:top w:val="single" w:color="000000" w:sz="4" w:space="0"/>
              <w:left w:val="single" w:color="000000" w:sz="4" w:space="0"/>
              <w:bottom w:val="single" w:color="000000" w:sz="4" w:space="0"/>
            </w:tcBorders>
            <w:tcW w:w="13961"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b/>
                <w:bCs/>
                <w:sz w:val="30"/>
                <w:szCs w:val="30"/>
              </w:rPr>
              <w:t xml:space="preserve">一、临时住宿</w:t>
            </w:r>
            <w:r>
              <w:rPr>
                <w:rFonts w:hint="eastAsia" w:ascii="楷体" w:hAnsi="楷体" w:eastAsia="楷体" w:cs="楷体"/>
                <w:b/>
                <w:bCs/>
                <w:sz w:val="24"/>
              </w:rPr>
            </w:r>
            <w:r/>
          </w:p>
        </w:tc>
      </w:tr>
      <w:tr>
        <w:trPr>
          <w:trHeight w:val="599"/>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序号</w:t>
            </w:r>
            <w:r/>
          </w:p>
        </w:tc>
        <w:tc>
          <w:tcPr>
            <w:tcW w:w="69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产品名称</w:t>
            </w:r>
            <w:r/>
          </w:p>
        </w:tc>
        <w:tc>
          <w:tcPr>
            <w:tcW w:w="1734"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规格、尺寸</w:t>
            </w:r>
            <w:r/>
          </w:p>
        </w:tc>
        <w:tc>
          <w:tcPr>
            <w:tcW w:w="9658"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参数要求</w:t>
            </w:r>
            <w:r/>
          </w:p>
        </w:tc>
        <w:tc>
          <w:tcPr>
            <w:tcW w:w="708"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单位</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数量</w:t>
            </w:r>
            <w:r>
              <w:rPr>
                <w:rFonts w:hint="eastAsia" w:ascii="楷体" w:hAnsi="楷体" w:eastAsia="楷体" w:cs="楷体"/>
                <w:b/>
                <w:bCs/>
                <w:sz w:val="24"/>
              </w:rPr>
            </w:r>
            <w:r/>
          </w:p>
        </w:tc>
      </w:tr>
      <w:tr>
        <w:trPr>
          <w:trHeight w:val="696"/>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w:t>
            </w:r>
            <w:r/>
          </w:p>
        </w:tc>
        <w:tc>
          <w:tcPr>
            <w:tcW w:w="69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单帐篷（12㎡）</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规格尺寸：3800（±5）*3200（±5）*1800（±5）mm，顶高2700（±5）mm，门口尺寸：高度1800mm（±20），宽度800mm（±10），窗口尺寸：高度600mm（±10），宽度800mm（±10），窗口距地面高度为1000mm（±20）；</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结构构成：篷体、框架、地铺及配件（含三角桩、钩桩、拉绳）</w:t>
            </w:r>
            <w:r/>
          </w:p>
          <w:p>
            <w:pPr>
              <w:pStyle w:val="729"/>
              <w:rPr>
                <w:rFonts w:hint="eastAsia" w:ascii="楷体" w:hAnsi="楷体" w:eastAsia="楷体" w:cs="楷体"/>
                <w:sz w:val="24"/>
              </w:rPr>
            </w:pPr>
            <w:r>
              <w:rPr>
                <w:rFonts w:hint="eastAsia" w:ascii="楷体" w:hAnsi="楷体" w:eastAsia="楷体" w:cs="楷体"/>
                <w:sz w:val="24"/>
              </w:rPr>
              <w:t xml:space="preserve">▲1、面料：天蓝色，333d×333d涤纶丝PVC涂层布，＞450g/㎡，撕破强力：经向＞35N，纬向＞30N；断裂强力；经向＞1600N，纬向＞1300N。蓬杆：直径28mm×1.0mm焊接管，连接管件：直径25mm×1.0mm焊接管，角钢30mm×30mm×3mm。</w:t>
            </w:r>
            <w:r/>
          </w:p>
          <w:p>
            <w:pPr>
              <w:pStyle w:val="729"/>
              <w:rPr>
                <w:rFonts w:hint="eastAsia" w:ascii="楷体" w:hAnsi="楷体" w:eastAsia="楷体" w:cs="楷体"/>
                <w:sz w:val="24"/>
              </w:rPr>
            </w:pPr>
            <w:r>
              <w:rPr>
                <w:rFonts w:hint="eastAsia" w:ascii="楷体" w:hAnsi="楷体" w:eastAsia="楷体" w:cs="楷体"/>
                <w:sz w:val="24"/>
              </w:rPr>
              <w:t xml:space="preserve">2、篷体外观：面料为天蓝色，涂层颜色与面料颜色一致，白色印字应端正，清晰，色度饱</w:t>
            </w:r>
            <w:r>
              <w:rPr>
                <w:rFonts w:hint="eastAsia" w:ascii="楷体" w:hAnsi="楷体" w:eastAsia="楷体" w:cs="楷体"/>
                <w:sz w:val="24"/>
              </w:rPr>
              <w:t xml:space="preserve">满，牢固，不露底色，不得脏污。</w:t>
            </w:r>
            <w:r/>
          </w:p>
          <w:p>
            <w:pPr>
              <w:pStyle w:val="729"/>
              <w:rPr>
                <w:rFonts w:hint="eastAsia" w:ascii="楷体" w:hAnsi="楷体" w:eastAsia="楷体" w:cs="楷体"/>
                <w:sz w:val="24"/>
              </w:rPr>
            </w:pPr>
            <w:r>
              <w:rPr>
                <w:rFonts w:hint="eastAsia" w:ascii="楷体" w:hAnsi="楷体" w:eastAsia="楷体" w:cs="楷体"/>
                <w:sz w:val="24"/>
              </w:rPr>
              <w:t xml:space="preserve">3、篷体要求:缝纫部位表面平整、整洁、线迹顺直，针码均匀，各配件位置准确，各缝制部分应缝制牢固，不得有开裂、断线、跳线、破损、死折、皱折、返线、残留针眼、出套、毛漏、下坑（掉道、塌边）等现象；篷顶拼接部位的缝制针眼、定制针眼、垫布针眼等部位的内表面需用PU胶条贴膜处理；贴膜用牢固、平整、顺直搭接到位，不得有残留胶条，贴膜不牢、裂纹等缺陷；</w:t>
            </w:r>
            <w:r/>
          </w:p>
          <w:p>
            <w:pPr>
              <w:pStyle w:val="729"/>
              <w:rPr>
                <w:rFonts w:hint="eastAsia" w:ascii="楷体" w:hAnsi="楷体" w:eastAsia="楷体" w:cs="楷体"/>
                <w:sz w:val="24"/>
              </w:rPr>
            </w:pPr>
            <w:r>
              <w:rPr>
                <w:rFonts w:hint="eastAsia" w:ascii="楷体" w:hAnsi="楷体" w:eastAsia="楷体" w:cs="楷体"/>
                <w:sz w:val="24"/>
              </w:rPr>
              <w:t xml:space="preserve">4、篷杆要求：篷杆架件各焊接部位需焊接牢固，焊缝完整，手感光滑，型位准确，篷杆及各金属件喷塑前需经去毛刺、除油、防锈、磷化处理后才能进行喷塑，颜色为白色，漆面应饱满、光洁、均匀牢固、不得有露底、裂纹等缺陷。</w:t>
            </w:r>
            <w:r/>
          </w:p>
          <w:p>
            <w:pPr>
              <w:pStyle w:val="729"/>
              <w:rPr>
                <w:rFonts w:hint="eastAsia" w:ascii="楷体" w:hAnsi="楷体" w:eastAsia="楷体" w:cs="楷体"/>
                <w:sz w:val="24"/>
              </w:rPr>
            </w:pPr>
            <w:r>
              <w:rPr>
                <w:rFonts w:hint="eastAsia" w:ascii="楷体" w:hAnsi="楷体" w:eastAsia="楷体" w:cs="楷体"/>
                <w:sz w:val="24"/>
              </w:rPr>
              <w:t xml:space="preserve">5、包装及标志：每顶帐篷的蓬顶、墙体、门体居中部位印有（xx应急）字样。每顶帐篷有蓬体1件、篷架1件分别打包组成。外包由防水牛津布制作而成，外包装印有产品名称、数量、质量、生产年月、生产批号、承制单位名称、监制单位名称和（xx应急）字样，字体大小适宜清晰。</w:t>
            </w:r>
            <w:r/>
          </w:p>
          <w:p>
            <w:pPr>
              <w:pStyle w:val="729"/>
              <w:rPr>
                <w:rFonts w:hint="eastAsia" w:ascii="楷体" w:hAnsi="楷体" w:eastAsia="楷体" w:cs="楷体"/>
                <w:b/>
                <w:bCs/>
                <w:sz w:val="24"/>
              </w:rPr>
            </w:pPr>
            <w:r>
              <w:rPr>
                <w:rFonts w:hint="eastAsia" w:ascii="楷体" w:hAnsi="楷体" w:eastAsia="楷体" w:cs="楷体"/>
                <w:b/>
                <w:bCs/>
                <w:sz w:val="24"/>
              </w:rPr>
              <w:t xml:space="preserve">注：上述标注▲须提供符合MZ/TO11.2-2010《中华人民共和国民政部行业标准》第二部分12m2单帐篷技术要求的带CMA标识的检测报告</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100</w:t>
            </w:r>
            <w:r>
              <w:rPr>
                <w:rFonts w:hint="eastAsia" w:ascii="楷体" w:hAnsi="楷体" w:eastAsia="楷体" w:cs="楷体"/>
                <w:b/>
                <w:bCs/>
                <w:sz w:val="24"/>
              </w:rPr>
            </w:r>
            <w:r/>
          </w:p>
        </w:tc>
      </w:tr>
      <w:tr>
        <w:trPr>
          <w:trHeight w:val="286"/>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充气帐篷（16㎡）</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≥16</w:t>
            </w:r>
            <w:r>
              <w:rPr>
                <w:rFonts w:hint="eastAsia" w:ascii="楷体" w:hAnsi="楷体" w:eastAsia="楷体" w:cs="楷体"/>
                <w:sz w:val="24"/>
              </w:rPr>
              <w:t xml:space="preserve">㎡（5.72×3.45×2.55×1.85m）（长×宽×顶高×肩高）</w:t>
            </w:r>
            <w:r/>
          </w:p>
          <w:p>
            <w:pPr>
              <w:pStyle w:val="729"/>
              <w:rPr>
                <w:rFonts w:hint="eastAsia" w:ascii="楷体" w:hAnsi="楷体" w:eastAsia="楷体" w:cs="楷体"/>
                <w:sz w:val="24"/>
              </w:rPr>
            </w:pPr>
            <w:r>
              <w:rPr>
                <w:rFonts w:hint="eastAsia" w:ascii="楷体" w:hAnsi="楷体" w:eastAsia="楷体" w:cs="楷体"/>
                <w:sz w:val="24"/>
              </w:r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结构组成：双层斜坡结构，主要由篷体、充气式篷架、纱门（窗）、地桩、防风绳、包装袋、地铺和充气泵组等附件成。</w:t>
            </w:r>
            <w:r/>
          </w:p>
          <w:p>
            <w:pPr>
              <w:pStyle w:val="729"/>
              <w:rPr>
                <w:rFonts w:hint="eastAsia" w:ascii="楷体" w:hAnsi="楷体" w:eastAsia="楷体" w:cs="楷体"/>
                <w:sz w:val="24"/>
              </w:rPr>
            </w:pPr>
            <w:r>
              <w:rPr>
                <w:rFonts w:hint="eastAsia" w:ascii="楷体" w:hAnsi="楷体" w:eastAsia="楷体" w:cs="楷体"/>
                <w:sz w:val="24"/>
              </w:rPr>
              <w:t xml:space="preserve">▲1、外篷：≥666dtex×666dtex涤纶低弹丝（100%）PU涂层牛津布，克重≤450g/㎡；断裂强力经向≥1600N/5cm，纬向≥1350N/5cm；静水压≥50kPa；提供符合GB/T4669-2008、GB/T3923.1-1997和GB/T3917.3-2009要求的带CMA标识的检测报告。</w:t>
            </w:r>
            <w:r/>
          </w:p>
          <w:p>
            <w:pPr>
              <w:pStyle w:val="729"/>
              <w:rPr>
                <w:rFonts w:hint="eastAsia" w:ascii="楷体" w:hAnsi="楷体" w:eastAsia="楷体" w:cs="楷体"/>
                <w:sz w:val="24"/>
              </w:rPr>
            </w:pPr>
            <w:r>
              <w:rPr>
                <w:rFonts w:hint="eastAsia" w:ascii="楷体" w:hAnsi="楷体" w:eastAsia="楷体" w:cs="楷体"/>
                <w:sz w:val="24"/>
              </w:rPr>
              <w:t xml:space="preserve">▲2、内蓬：采用75D 240T本白色春亚纺，纤维含量;100%聚酯纤维。克重≥60g/㎡；撕破强力:经向、纬向≥5N/10cm；拉伸性能：经向断裂强力≥650N/5cm，纬向断裂强力≥350N/5cm；提供符合GB/T2912.1-2009、GB/T3917.2-2009和GB/T3923.1-2013要求的带CMA标识的检测报告。</w:t>
            </w:r>
            <w:r/>
          </w:p>
          <w:p>
            <w:pPr>
              <w:pStyle w:val="729"/>
              <w:rPr>
                <w:rFonts w:hint="eastAsia" w:ascii="楷体" w:hAnsi="楷体" w:eastAsia="楷体" w:cs="楷体"/>
                <w:sz w:val="24"/>
              </w:rPr>
            </w:pPr>
            <w:r>
              <w:rPr>
                <w:rFonts w:hint="eastAsia" w:ascii="楷体" w:hAnsi="楷体" w:eastAsia="楷体" w:cs="楷体"/>
                <w:sz w:val="24"/>
              </w:rPr>
              <w:t xml:space="preserve">▲3、地铺：采用双面涂覆PVC涂层布，克重≥400g/㎡；抗拉强度:经向≥1200N/5cm、纬向≥900N/5cm。撕裂强力：经向≥55N 纬向≥45N。静水压≥50kPa；耐寒性能≤-15℃</w:t>
            </w:r>
            <w:r>
              <w:rPr>
                <w:rFonts w:hint="eastAsia" w:ascii="楷体" w:hAnsi="楷体" w:eastAsia="楷体" w:cs="楷体"/>
                <w:sz w:val="24"/>
              </w:rPr>
              <w:t xml:space="preserve">。提供符合GB/T4669-2008、HG/T2580-2008和FZ/T01007-2008要求的带CMA标识的检测报告。</w:t>
            </w:r>
            <w:r/>
          </w:p>
          <w:p>
            <w:pPr>
              <w:pStyle w:val="989"/>
              <w:ind w:firstLine="0"/>
              <w:rPr>
                <w:rFonts w:hint="eastAsia" w:ascii="楷体" w:hAnsi="楷体" w:eastAsia="楷体" w:cs="楷体"/>
                <w:sz w:val="24"/>
              </w:rPr>
            </w:pPr>
            <w:r>
              <w:rPr>
                <w:rFonts w:hint="eastAsia" w:ascii="楷体" w:hAnsi="楷体" w:eastAsia="楷体" w:cs="楷体"/>
                <w:sz w:val="24"/>
              </w:rPr>
              <w:t xml:space="preserve">4、包装及标志：每顶充气帐篷有蓬体、附件组成合并打包，外包由防水牛津布制作而成，外包装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w:t>
            </w:r>
            <w:r>
              <w:rPr>
                <w:rFonts w:hint="eastAsia" w:ascii="楷体" w:hAnsi="楷体" w:eastAsia="楷体" w:cs="楷体"/>
                <w:b/>
                <w:bCs/>
                <w:sz w:val="24"/>
              </w:rPr>
            </w:r>
            <w:r/>
          </w:p>
        </w:tc>
      </w:tr>
      <w:tr>
        <w:trPr>
          <w:trHeight w:val="1652"/>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篷布</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宽度：4m、5m、8m、长度：定制</w:t>
            </w:r>
            <w:r/>
          </w:p>
        </w:tc>
        <w:tc>
          <w:tcPr>
            <w:tcW w:w="9658" w:type="dxa"/>
            <w:vAlign w:val="center"/>
            <w:textDirection w:val="lrTb"/>
            <w:noWrap w:val="false"/>
          </w:tcPr>
          <w:p>
            <w:pPr>
              <w:pStyle w:val="729"/>
              <w:numPr>
                <w:ilvl w:val="0"/>
                <w:numId w:val="10"/>
              </w:numPr>
              <w:rPr>
                <w:rFonts w:hint="eastAsia" w:ascii="楷体" w:hAnsi="楷体" w:eastAsia="楷体" w:cs="楷体"/>
                <w:sz w:val="24"/>
              </w:rPr>
            </w:pPr>
            <w:r>
              <w:rPr>
                <w:rFonts w:hint="eastAsia" w:ascii="楷体" w:hAnsi="楷体" w:eastAsia="楷体" w:cs="楷体"/>
                <w:sz w:val="24"/>
              </w:rPr>
              <w:t xml:space="preserve">采用PP材质；覆膜：双覆膜；克重： 80g/㎡</w:t>
            </w:r>
            <w:r/>
          </w:p>
          <w:p>
            <w:pPr>
              <w:pStyle w:val="729"/>
              <w:rPr>
                <w:rFonts w:hint="eastAsia" w:ascii="楷体" w:hAnsi="楷体" w:eastAsia="楷体" w:cs="楷体"/>
                <w:sz w:val="24"/>
              </w:rPr>
            </w:pPr>
            <w:r>
              <w:rPr>
                <w:rFonts w:hint="eastAsia" w:ascii="楷体" w:hAnsi="楷体" w:eastAsia="楷体" w:cs="楷体"/>
                <w:sz w:val="24"/>
              </w:rPr>
              <w:t xml:space="preserve">2、 包装及标志：每 50米为一件，用专用包装袋包装，2道打包带捆扎，包装应平整、牢固，每件包装内放置产品合格证；外包装包装及标志：每顶充气帐篷有蓬体、附件组成合并打包，外包由防水牛津布制作而成，外包装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1500</w:t>
            </w:r>
            <w:r>
              <w:rPr>
                <w:rFonts w:hint="eastAsia" w:ascii="楷体" w:hAnsi="楷体" w:eastAsia="楷体" w:cs="楷体"/>
                <w:b/>
                <w:bCs/>
                <w:sz w:val="24"/>
              </w:rPr>
            </w:r>
            <w:r/>
          </w:p>
        </w:tc>
      </w:tr>
      <w:tr>
        <w:trPr>
          <w:trHeight w:val="995"/>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4</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彩条布</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≥120（g/m</w:t>
            </w:r>
            <w:r>
              <w:rPr>
                <w:rFonts w:ascii="Calibri" w:hAnsi="Calibri" w:eastAsia="楷体" w:cs="Calibri"/>
                <w:sz w:val="24"/>
              </w:rPr>
              <w:t xml:space="preserve">²</w:t>
            </w:r>
            <w:r>
              <w:rPr>
                <w:rFonts w:hint="eastAsia" w:ascii="楷体" w:hAnsi="楷体" w:eastAsia="楷体" w:cs="楷体"/>
                <w:sz w:val="24"/>
              </w:rPr>
              <w:t xml:space="preserve">)</w:t>
            </w:r>
            <w:r/>
          </w:p>
        </w:tc>
        <w:tc>
          <w:tcPr>
            <w:tcW w:w="9658" w:type="dxa"/>
            <w:vAlign w:val="center"/>
            <w:textDirection w:val="lrTb"/>
            <w:noWrap w:val="false"/>
          </w:tcPr>
          <w:p>
            <w:pPr>
              <w:pStyle w:val="989"/>
              <w:numPr>
                <w:ilvl w:val="0"/>
                <w:numId w:val="11"/>
              </w:numPr>
              <w:jc w:val="left"/>
              <w:rPr>
                <w:rFonts w:hint="eastAsia" w:ascii="楷体" w:hAnsi="楷体" w:eastAsia="楷体" w:cs="楷体"/>
                <w:sz w:val="24"/>
              </w:rPr>
            </w:pPr>
            <w:r>
              <w:rPr>
                <w:rFonts w:hint="eastAsia" w:ascii="楷体" w:hAnsi="楷体" w:eastAsia="楷体" w:cs="楷体"/>
                <w:sz w:val="24"/>
              </w:rPr>
              <w:t xml:space="preserve">主要材料：聚乙烯或聚丙烯树脂</w:t>
            </w:r>
            <w:r/>
          </w:p>
          <w:p>
            <w:pPr>
              <w:pStyle w:val="989"/>
              <w:numPr>
                <w:ilvl w:val="0"/>
                <w:numId w:val="11"/>
              </w:numPr>
              <w:jc w:val="left"/>
              <w:rPr>
                <w:rFonts w:hint="eastAsia" w:ascii="楷体" w:hAnsi="楷体" w:eastAsia="楷体" w:cs="楷体"/>
                <w:sz w:val="24"/>
              </w:rPr>
            </w:pPr>
            <w:r>
              <w:rPr>
                <w:rFonts w:hint="eastAsia" w:ascii="楷体" w:hAnsi="楷体" w:eastAsia="楷体" w:cs="楷体"/>
                <w:sz w:val="24"/>
              </w:rPr>
              <w:t xml:space="preserve">外观：折皱 （≤宽度为5cm，≤长度15cm，1m内≤3处）；复合（不允许出现</w:t>
            </w:r>
            <w:r/>
          </w:p>
          <w:p>
            <w:pPr>
              <w:pStyle w:val="729"/>
              <w:jc w:val="left"/>
              <w:rPr>
                <w:rFonts w:hint="eastAsia" w:ascii="楷体" w:hAnsi="楷体" w:eastAsia="楷体" w:cs="楷体"/>
                <w:sz w:val="24"/>
              </w:rPr>
            </w:pPr>
            <w:r>
              <w:rPr>
                <w:rFonts w:hint="eastAsia" w:ascii="楷体" w:hAnsi="楷体" w:eastAsia="楷体" w:cs="楷体"/>
                <w:sz w:val="24"/>
              </w:rPr>
              <w:t xml:space="preserve">复合宽度不足，明显脱膜，气泡或硬块）；稀档（1m内经纬丝断丝之和小于3根）；3、边不良（≤300cm，每 50cm计一处</w:t>
            </w:r>
            <w:r>
              <w:rPr>
                <w:rFonts w:hint="eastAsia" w:ascii="楷体" w:hAnsi="楷体" w:eastAsia="楷体" w:cs="楷体"/>
                <w:sz w:val="24"/>
              </w:rPr>
              <w:t xml:space="preserve">，100m内不超过5处）；杂物（软质，直径</w:t>
            </w:r>
            <w:r/>
          </w:p>
          <w:p>
            <w:pPr>
              <w:pStyle w:val="729"/>
              <w:jc w:val="left"/>
              <w:rPr>
                <w:rFonts w:hint="eastAsia" w:ascii="楷体" w:hAnsi="楷体" w:eastAsia="楷体" w:cs="楷体"/>
                <w:sz w:val="24"/>
              </w:rPr>
            </w:pPr>
            <w:r>
              <w:rPr>
                <w:rFonts w:hint="eastAsia" w:ascii="楷体" w:hAnsi="楷体" w:eastAsia="楷体" w:cs="楷体"/>
                <w:sz w:val="24"/>
              </w:rPr>
              <w:t xml:space="preserve">≤5mm ，100m内不超过10处）；偏差：允许偏差（</w:t>
            </w:r>
            <w:r>
              <w:rPr>
                <w:rFonts w:ascii="楷体" w:hAnsi="楷体" w:eastAsia="楷体" w:cs="楷体"/>
                <w:sz w:val="24"/>
              </w:rPr>
              <w:t xml:space="preserve">%</w:t>
            </w:r>
            <w:r>
              <w:rPr>
                <w:rFonts w:hint="eastAsia" w:ascii="楷体" w:hAnsi="楷体" w:eastAsia="楷体" w:cs="楷体"/>
                <w:sz w:val="24"/>
              </w:rPr>
              <w:t xml:space="preserve">）幅宽</w:t>
            </w:r>
            <w:r>
              <w:rPr>
                <w:rFonts w:ascii="楷体" w:hAnsi="楷体" w:eastAsia="楷体" w:cs="楷体"/>
                <w:sz w:val="24"/>
              </w:rPr>
              <w:t xml:space="preserve">-0.5</w:t>
            </w:r>
            <w:r>
              <w:rPr>
                <w:rFonts w:hint="eastAsia" w:ascii="楷体" w:hAnsi="楷体" w:eastAsia="楷体" w:cs="楷体"/>
                <w:sz w:val="24"/>
              </w:rPr>
              <w:t xml:space="preserve">，长度</w:t>
            </w:r>
            <w:r>
              <w:rPr>
                <w:rFonts w:ascii="楷体" w:hAnsi="楷体" w:eastAsia="楷体" w:cs="楷体"/>
                <w:sz w:val="24"/>
              </w:rPr>
              <w:t xml:space="preserve">-0.5</w:t>
            </w:r>
            <w:r>
              <w:rPr>
                <w:rFonts w:hint="eastAsia" w:ascii="楷体" w:hAnsi="楷体" w:eastAsia="楷体" w:cs="楷体"/>
                <w:sz w:val="24"/>
              </w:rPr>
              <w:t xml:space="preserve">，单位和面积</w:t>
            </w:r>
            <w:r>
              <w:rPr>
                <w:rFonts w:ascii="楷体" w:hAnsi="楷体" w:eastAsia="楷体" w:cs="楷体"/>
                <w:sz w:val="24"/>
              </w:rPr>
              <w:t xml:space="preserve">-10</w:t>
            </w:r>
            <w:r>
              <w:rPr>
                <w:rFonts w:hint="eastAsia" w:ascii="楷体" w:hAnsi="楷体" w:eastAsia="楷体" w:cs="楷体"/>
                <w:sz w:val="24"/>
              </w:rPr>
              <w:t xml:space="preserve">。</w:t>
            </w:r>
            <w:r/>
          </w:p>
          <w:p>
            <w:pPr>
              <w:pStyle w:val="989"/>
              <w:numPr>
                <w:ilvl w:val="0"/>
                <w:numId w:val="12"/>
              </w:numPr>
              <w:rPr>
                <w:rFonts w:hint="eastAsia" w:ascii="楷体" w:hAnsi="楷体" w:eastAsia="楷体" w:cs="楷体"/>
                <w:sz w:val="24"/>
              </w:rPr>
            </w:pPr>
            <w:r>
              <w:rPr>
                <w:rFonts w:hint="eastAsia" w:ascii="楷体" w:hAnsi="楷体" w:eastAsia="楷体" w:cs="楷体"/>
                <w:sz w:val="24"/>
              </w:rPr>
              <w:t xml:space="preserve">性能指标：经向断裂强度（kN/m）≥20 ；纬向断裂强度（kN/m）≥19；经、纬</w:t>
            </w:r>
            <w:r/>
          </w:p>
          <w:p>
            <w:pPr>
              <w:pStyle w:val="729"/>
              <w:rPr>
                <w:rFonts w:hint="eastAsia" w:ascii="楷体" w:hAnsi="楷体" w:eastAsia="楷体" w:cs="楷体"/>
                <w:sz w:val="24"/>
              </w:rPr>
            </w:pPr>
            <w:r>
              <w:rPr>
                <w:rFonts w:hint="eastAsia" w:ascii="楷体" w:hAnsi="楷体" w:eastAsia="楷体" w:cs="楷体"/>
                <w:sz w:val="24"/>
              </w:rPr>
              <w:t xml:space="preserve">向断裂伸长率% ≥15-40；剥离强度（kN/m）≥0.167；梯形撕裂强力（kN）≥0.38；顶破强力（kN）≥2.0；渗透系数（cm/s）≤10-11</w:t>
            </w:r>
            <w:r/>
          </w:p>
          <w:p>
            <w:pPr>
              <w:pStyle w:val="729"/>
              <w:rPr>
                <w:rFonts w:hint="eastAsia" w:ascii="楷体" w:hAnsi="楷体" w:eastAsia="楷体" w:cs="楷体"/>
                <w:sz w:val="24"/>
              </w:rPr>
            </w:pPr>
            <w:r>
              <w:rPr>
                <w:rFonts w:hint="eastAsia" w:ascii="楷体" w:hAnsi="楷体" w:eastAsia="楷体" w:cs="楷体"/>
                <w:sz w:val="24"/>
              </w:rPr>
              <w:t xml:space="preserve">5、包装及标志：每 50米为一件，用专用包装袋包装，2道打包带捆扎，包装应平</w:t>
            </w:r>
            <w:r/>
          </w:p>
          <w:p>
            <w:pPr>
              <w:pStyle w:val="729"/>
              <w:rPr>
                <w:rFonts w:hint="eastAsia" w:ascii="楷体" w:hAnsi="楷体" w:eastAsia="楷体" w:cs="楷体"/>
                <w:sz w:val="24"/>
              </w:rPr>
            </w:pPr>
            <w:r>
              <w:rPr>
                <w:rFonts w:hint="eastAsia" w:ascii="楷体" w:hAnsi="楷体" w:eastAsia="楷体" w:cs="楷体"/>
                <w:sz w:val="24"/>
              </w:rPr>
              <w:t xml:space="preserve">整、牢固，每件包装内放置产品合格证。印有产品名称、数量、质量、生产年月、生产批号、承制单位名称、监制单位名称和（xx应急）字样，字体大小适宜清晰。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1000</w:t>
            </w:r>
            <w:r>
              <w:rPr>
                <w:rFonts w:hint="eastAsia" w:ascii="楷体" w:hAnsi="楷体" w:eastAsia="楷体" w:cs="楷体"/>
                <w:b/>
                <w:bCs/>
                <w:sz w:val="24"/>
              </w:rPr>
            </w:r>
            <w:r/>
          </w:p>
        </w:tc>
      </w:tr>
      <w:tr>
        <w:trPr>
          <w:trHeight w:val="3103"/>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折叠床</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200*90*45cm</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1、折叠尺寸：≤101*92*16；承重：≥400kg（均布放置）；重量：≥18公斤；颜色：军绿色；结构材质：Q215钢材，直缝电焊钢管。</w:t>
            </w:r>
            <w:r/>
          </w:p>
          <w:p>
            <w:pPr>
              <w:pStyle w:val="729"/>
              <w:rPr>
                <w:rFonts w:hint="eastAsia" w:ascii="楷体" w:hAnsi="楷体" w:eastAsia="楷体" w:cs="楷体"/>
                <w:sz w:val="24"/>
              </w:rPr>
            </w:pPr>
            <w:r>
              <w:rPr>
                <w:rFonts w:hint="eastAsia" w:ascii="楷体" w:hAnsi="楷体" w:eastAsia="楷体" w:cs="楷体"/>
                <w:sz w:val="24"/>
              </w:rPr>
              <w:t xml:space="preserve">2、床腿：Ф32㎜×1.2㎜；连接杆：Ф20㎜×1.2㎜；床架边框：40㎜×20㎜×1.2㎜；横撑：20㎜×10㎜×1.2㎜。</w:t>
            </w:r>
            <w:r/>
          </w:p>
          <w:p>
            <w:pPr>
              <w:pStyle w:val="729"/>
              <w:rPr>
                <w:rFonts w:hint="eastAsia" w:ascii="楷体" w:hAnsi="楷体" w:eastAsia="楷体" w:cs="楷体"/>
                <w:sz w:val="24"/>
              </w:rPr>
            </w:pPr>
            <w:r>
              <w:rPr>
                <w:rFonts w:hint="eastAsia" w:ascii="楷体" w:hAnsi="楷体" w:eastAsia="楷体" w:cs="楷体"/>
                <w:sz w:val="24"/>
              </w:rPr>
              <w:t xml:space="preserve">▲3、外观要求：金属件表面光滑、无裂缝、无气味、没有破损、凹陷、漏焊、假焊、锈斑、无毛刺</w:t>
            </w:r>
            <w:r>
              <w:rPr>
                <w:rFonts w:hint="eastAsia" w:ascii="楷体" w:hAnsi="楷体" w:eastAsia="楷体" w:cs="楷体"/>
                <w:sz w:val="24"/>
              </w:rPr>
              <w:t xml:space="preserve">、刃口、棱角、管件结合牢固、尺寸不对等不良现象。涂层无喷薄，漏喷、锈蚀和脱色掉色现象。塑料件表面应光洁、无划痕、无污渍、无明显色差、无裂纹、无变形、无气泡、杂质、伤痕等缺陷。提供符合GB/T3325-2017要求的</w:t>
            </w:r>
            <w:r>
              <w:rPr>
                <w:rFonts w:hint="eastAsia" w:ascii="楷体" w:hAnsi="楷体" w:eastAsia="楷体" w:cs="楷体"/>
                <w:b/>
                <w:bCs/>
                <w:sz w:val="24"/>
              </w:rPr>
              <w:t xml:space="preserve">带CMA标识的检测报告</w:t>
            </w:r>
            <w:r>
              <w:rPr>
                <w:rFonts w:hint="eastAsia" w:ascii="楷体" w:hAnsi="楷体" w:eastAsia="楷体" w:cs="楷体"/>
                <w:sz w:val="24"/>
              </w:rPr>
              <w:t xml:space="preserve">。</w:t>
            </w:r>
            <w:r/>
          </w:p>
          <w:p>
            <w:pPr>
              <w:pStyle w:val="729"/>
              <w:rPr>
                <w:rFonts w:hint="eastAsia" w:ascii="楷体" w:hAnsi="楷体" w:eastAsia="楷体" w:cs="楷体"/>
                <w:sz w:val="24"/>
              </w:rPr>
            </w:pPr>
            <w:r>
              <w:rPr>
                <w:rFonts w:hint="eastAsia" w:ascii="楷体" w:hAnsi="楷体" w:eastAsia="楷体" w:cs="楷体"/>
                <w:sz w:val="24"/>
              </w:rPr>
              <w:t xml:space="preserve">4、包装及标志：外包由纸箱制作而成，外包装印有产品名称、数量、质量、生产年月、生产批号、承制单位名称、监制单位名称和（xx应急）字样，字体大小适宜清晰。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300</w:t>
            </w:r>
            <w:r>
              <w:rPr>
                <w:rFonts w:hint="eastAsia" w:ascii="楷体" w:hAnsi="楷体" w:eastAsia="楷体" w:cs="楷体"/>
                <w:b/>
                <w:bCs/>
                <w:sz w:val="24"/>
              </w:rPr>
            </w:r>
            <w:r/>
          </w:p>
        </w:tc>
      </w:tr>
      <w:tr>
        <w:trPr>
          <w:trHeight w:val="1333"/>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6</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充气垫</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183×57×2.5cm</w:t>
            </w:r>
            <w:r/>
          </w:p>
          <w:p>
            <w:pPr>
              <w:pStyle w:val="729"/>
              <w:rPr>
                <w:rFonts w:hint="eastAsia" w:ascii="楷体" w:hAnsi="楷体" w:eastAsia="楷体" w:cs="楷体"/>
                <w:sz w:val="24"/>
              </w:rPr>
            </w:pPr>
            <w:r>
              <w:rPr>
                <w:rFonts w:hint="eastAsia" w:ascii="楷体" w:hAnsi="楷体" w:eastAsia="楷体" w:cs="楷体"/>
                <w:sz w:val="24"/>
              </w:r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1、190T迷彩涤塔夫复合PVC，填充：21D高回弹海绵；自充气结构；</w:t>
            </w:r>
            <w:r/>
          </w:p>
          <w:p>
            <w:pPr>
              <w:pStyle w:val="729"/>
              <w:rPr>
                <w:rFonts w:hint="eastAsia" w:ascii="楷体" w:hAnsi="楷体" w:eastAsia="楷体" w:cs="楷体"/>
                <w:sz w:val="24"/>
              </w:rPr>
            </w:pPr>
            <w:r>
              <w:rPr>
                <w:rFonts w:hint="eastAsia" w:ascii="楷体" w:hAnsi="楷体" w:eastAsia="楷体" w:cs="楷体"/>
                <w:sz w:val="24"/>
              </w:rPr>
              <w:t xml:space="preserve">2、包装及标志：包装尺寸：≤60×13×14cm，外包由防水牛津布制作而成，外包装印有产品名称、数量、质量、生产年月、生产批号、承制单位名称、监制单位名称和（xx应急）字样，字体大小适宜清晰。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250</w:t>
            </w:r>
            <w:r>
              <w:rPr>
                <w:rFonts w:hint="eastAsia" w:ascii="楷体" w:hAnsi="楷体" w:eastAsia="楷体" w:cs="楷体"/>
                <w:b/>
                <w:bCs/>
                <w:sz w:val="24"/>
              </w:rPr>
            </w:r>
            <w:r/>
          </w:p>
        </w:tc>
      </w:tr>
      <w:tr>
        <w:trPr>
          <w:trHeight w:val="271"/>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7</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折叠桌椅（铝合金）</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桌子尺寸： 90*65*43cm</w:t>
            </w:r>
            <w:r/>
          </w:p>
          <w:p>
            <w:pPr>
              <w:pStyle w:val="729"/>
              <w:rPr>
                <w:rFonts w:hint="eastAsia" w:ascii="楷体" w:hAnsi="楷体" w:eastAsia="楷体" w:cs="楷体"/>
                <w:sz w:val="24"/>
              </w:rPr>
            </w:pPr>
            <w:r>
              <w:rPr>
                <w:rFonts w:hint="eastAsia" w:ascii="楷体" w:hAnsi="楷体" w:eastAsia="楷体" w:cs="楷体"/>
                <w:sz w:val="24"/>
              </w:rPr>
              <w:t xml:space="preserve">储物箱尺寸：90*65*43cm，  </w:t>
            </w:r>
            <w:r/>
          </w:p>
          <w:p>
            <w:pPr>
              <w:pStyle w:val="988"/>
              <w:ind w:left="0" w:firstLine="0"/>
              <w:spacing w:line="240" w:lineRule="auto"/>
            </w:p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1、桌面：12mm的天然竹板，边框铝材，铝方管脚25*25mm,25*18mm(厚度: 1.0mm) 铝管表面银白碱砂氧。</w:t>
            </w:r>
            <w:r/>
          </w:p>
          <w:p>
            <w:pPr>
              <w:pStyle w:val="729"/>
              <w:rPr>
                <w:rFonts w:hint="eastAsia" w:ascii="楷体" w:hAnsi="楷体" w:eastAsia="楷体" w:cs="楷体"/>
                <w:sz w:val="24"/>
              </w:rPr>
            </w:pPr>
            <w:r>
              <w:rPr>
                <w:rFonts w:hint="eastAsia" w:ascii="楷体" w:hAnsi="楷体" w:eastAsia="楷体" w:cs="楷体"/>
                <w:sz w:val="24"/>
              </w:rPr>
              <w:t xml:space="preserve">2、马扎：铝合金材料，铝管19*1.15mm，铝管表面银白碱砂氧化；面料</w:t>
            </w:r>
            <w:r>
              <w:rPr>
                <w:rFonts w:hint="eastAsia" w:ascii="楷体" w:hAnsi="楷体" w:eastAsia="楷体" w:cs="楷体"/>
                <w:sz w:val="24"/>
              </w:rPr>
              <w:t xml:space="preserve">：600D牛津布双层;展开尺寸：≥31*24*42cm</w:t>
            </w:r>
            <w:r/>
          </w:p>
          <w:p>
            <w:pPr>
              <w:pStyle w:val="729"/>
              <w:rPr>
                <w:rFonts w:hint="eastAsia" w:ascii="楷体" w:hAnsi="楷体" w:eastAsia="楷体" w:cs="楷体"/>
                <w:sz w:val="24"/>
              </w:rPr>
            </w:pPr>
            <w:r>
              <w:rPr>
                <w:rFonts w:hint="eastAsia" w:ascii="楷体" w:hAnsi="楷体" w:eastAsia="楷体" w:cs="楷体"/>
                <w:sz w:val="24"/>
              </w:rPr>
              <w:t xml:space="preserve">3、简易储物箱：箱体桌面12mm天然竹板、600D牛津布，桌面底板：4mm中密度板、190D牛津布。   </w:t>
            </w:r>
            <w:r/>
          </w:p>
          <w:p>
            <w:pPr>
              <w:pStyle w:val="729"/>
              <w:rPr>
                <w:rFonts w:hint="eastAsia" w:ascii="楷体" w:hAnsi="楷体" w:eastAsia="楷体" w:cs="楷体"/>
                <w:sz w:val="24"/>
              </w:rPr>
            </w:pPr>
            <w:r>
              <w:rPr>
                <w:rFonts w:hint="eastAsia" w:ascii="楷体" w:hAnsi="楷体" w:eastAsia="楷体" w:cs="楷体"/>
                <w:sz w:val="24"/>
              </w:rPr>
              <w:t xml:space="preserve">4、包装及标志：桌1张和4个马扎一并打包，包装尺寸：≤68*48*24cm；外包由纸箱制作而成，并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50</w:t>
            </w:r>
            <w:r>
              <w:rPr>
                <w:rFonts w:hint="eastAsia" w:ascii="楷体" w:hAnsi="楷体" w:eastAsia="楷体" w:cs="楷体"/>
                <w:b/>
                <w:bCs/>
                <w:sz w:val="24"/>
              </w:rPr>
            </w:r>
            <w:r/>
          </w:p>
        </w:tc>
      </w:tr>
      <w:tr>
        <w:trPr>
          <w:trHeight w:val="980"/>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ascii="楷体" w:hAnsi="楷体" w:eastAsia="楷体" w:cs="楷体"/>
              </w:rPr>
              <w:t xml:space="preserve">LED</w:t>
            </w:r>
            <w:r>
              <w:rPr>
                <w:rFonts w:hint="eastAsia" w:ascii="楷体" w:hAnsi="楷体" w:eastAsia="楷体" w:cs="楷体"/>
              </w:rPr>
              <w:t xml:space="preserve">手电</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尺寸：≤Φ33×150mm  </w:t>
            </w:r>
            <w:r/>
          </w:p>
        </w:tc>
        <w:tc>
          <w:tcPr>
            <w:tcW w:w="9658" w:type="dxa"/>
            <w:vAlign w:val="center"/>
            <w:textDirection w:val="lrTb"/>
            <w:noWrap w:val="false"/>
          </w:tcPr>
          <w:p>
            <w:pPr>
              <w:pStyle w:val="989"/>
              <w:ind w:firstLine="0"/>
              <w:rPr>
                <w:rFonts w:hint="eastAsia" w:ascii="楷体" w:hAnsi="楷体" w:eastAsia="楷体" w:cs="楷体"/>
                <w:sz w:val="24"/>
              </w:rPr>
            </w:pPr>
            <w:r>
              <w:rPr>
                <w:rFonts w:hint="eastAsia" w:ascii="楷体" w:hAnsi="楷体" w:eastAsia="楷体" w:cs="楷体"/>
                <w:sz w:val="24"/>
              </w:rPr>
              <w:t xml:space="preserve">1、额定电压: DC3.7；额定容量: 2.2Ah；光源功率:3W；防护等级: IP65；</w:t>
            </w:r>
            <w:r/>
          </w:p>
          <w:p>
            <w:pPr>
              <w:pStyle w:val="989"/>
              <w:ind w:firstLine="0"/>
            </w:pPr>
            <w:r>
              <w:rPr>
                <w:rFonts w:hint="eastAsia" w:ascii="楷体" w:hAnsi="楷体" w:eastAsia="楷体" w:cs="楷体"/>
                <w:sz w:val="24"/>
              </w:rPr>
              <w:t xml:space="preserve">2、光源寿命 ≥ 10万小时；连续放电时间：强光</w:t>
            </w:r>
            <w:r>
              <w:rPr>
                <w:rFonts w:ascii="楷体" w:hAnsi="楷体" w:eastAsia="楷体" w:cs="楷体"/>
                <w:sz w:val="24"/>
              </w:rPr>
              <w:t xml:space="preserve">4h ,</w:t>
            </w:r>
            <w:r>
              <w:rPr>
                <w:rFonts w:hint="eastAsia" w:ascii="楷体" w:hAnsi="楷体" w:eastAsia="楷体" w:cs="楷体"/>
                <w:sz w:val="24"/>
              </w:rPr>
              <w:t xml:space="preserve">工作光</w:t>
            </w:r>
            <w:r>
              <w:rPr>
                <w:rFonts w:ascii="楷体" w:hAnsi="楷体" w:eastAsia="楷体" w:cs="楷体"/>
                <w:sz w:val="24"/>
              </w:rPr>
              <w:t xml:space="preserve">8h</w:t>
            </w:r>
            <w:r>
              <w:rPr>
                <w:rFonts w:hint="eastAsia" w:ascii="楷体" w:hAnsi="楷体" w:eastAsia="楷体" w:cs="楷体"/>
                <w:sz w:val="24"/>
              </w:rPr>
              <w:t xml:space="preserve">；充电时间：≤</w:t>
            </w:r>
            <w:r>
              <w:rPr>
                <w:rFonts w:ascii="楷体" w:hAnsi="楷体" w:eastAsia="楷体" w:cs="楷体"/>
                <w:sz w:val="24"/>
              </w:rPr>
              <w:t xml:space="preserve"> 5h</w:t>
            </w:r>
            <w:r>
              <w:rPr>
                <w:rFonts w:hint="eastAsia" w:ascii="楷体" w:hAnsi="楷体" w:eastAsia="楷体" w:cs="楷体"/>
                <w:sz w:val="24"/>
              </w:rPr>
              <w:t xml:space="preserve">；电池使用寿命：≥</w:t>
            </w:r>
            <w:r>
              <w:rPr>
                <w:rFonts w:ascii="楷体" w:hAnsi="楷体" w:eastAsia="楷体" w:cs="楷体"/>
                <w:sz w:val="24"/>
              </w:rPr>
              <w:t xml:space="preserve">1000</w:t>
            </w:r>
            <w:r>
              <w:rPr>
                <w:rFonts w:hint="eastAsia" w:ascii="楷体" w:hAnsi="楷体" w:eastAsia="楷体" w:cs="楷体"/>
                <w:sz w:val="24"/>
              </w:rPr>
              <w:t xml:space="preserve">次循环。</w:t>
            </w:r>
            <w:r>
              <w:rPr>
                <w:rFonts w:ascii="楷体" w:hAnsi="楷体" w:eastAsia="楷体" w:cs="楷体"/>
                <w:sz w:val="24"/>
              </w:rPr>
              <w:t xml:space="preserve">                         </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100</w:t>
            </w:r>
            <w:r>
              <w:rPr>
                <w:rFonts w:hint="eastAsia" w:ascii="楷体" w:hAnsi="楷体" w:eastAsia="楷体" w:cs="楷体"/>
                <w:b/>
                <w:bCs/>
                <w:sz w:val="24"/>
              </w:rPr>
            </w:r>
            <w:r/>
          </w:p>
        </w:tc>
      </w:tr>
      <w:tr>
        <w:trPr>
          <w:trHeight w:val="1835"/>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9</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pPr>
            <w:r>
              <w:rPr>
                <w:rFonts w:hint="eastAsia" w:ascii="楷体" w:hAnsi="楷体" w:eastAsia="楷体" w:cs="楷体"/>
              </w:rPr>
              <w:t xml:space="preserve">场地照明</w:t>
            </w:r>
            <w:r>
              <w:rPr>
                <w:rFonts w:ascii="楷体" w:hAnsi="楷体" w:eastAsia="楷体" w:cs="楷体"/>
              </w:rPr>
              <w:t xml:space="preserve">(</w:t>
            </w:r>
            <w:r>
              <w:rPr>
                <w:rFonts w:hint="eastAsia" w:ascii="楷体" w:hAnsi="楷体" w:eastAsia="楷体" w:cs="楷体"/>
              </w:rPr>
              <w:t xml:space="preserve">电池</w:t>
            </w:r>
            <w:r>
              <w:rPr>
                <w:rFonts w:ascii="楷体" w:hAnsi="楷体" w:eastAsia="楷体" w:cs="楷体"/>
              </w:rPr>
              <w:t xml:space="preserve">)</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1、工作电压12V ；电池额定容量≥24AH；灯头额定功率≥2*27W LED；平均使用寿命100000h；照射范围≥100M；电池充电时间8-12h；灯头工作模式：可通过按键使用灯头在弱光、强光状态之间切换；应急电源功能：USB接口，输出电压为DC5.0V±0.5V。</w:t>
            </w:r>
            <w:r/>
          </w:p>
          <w:p>
            <w:pPr>
              <w:pStyle w:val="729"/>
              <w:rPr>
                <w:rFonts w:hint="eastAsia" w:ascii="楷体" w:hAnsi="楷体" w:eastAsia="楷体" w:cs="楷体"/>
                <w:sz w:val="24"/>
              </w:rPr>
            </w:pPr>
            <w:r>
              <w:rPr>
                <w:rFonts w:hint="eastAsia" w:ascii="楷体" w:hAnsi="楷体" w:eastAsia="楷体" w:cs="楷体"/>
                <w:sz w:val="24"/>
              </w:rPr>
              <w:t xml:space="preserve">▲2、最大升起高</w:t>
            </w:r>
            <w:r>
              <w:rPr>
                <w:rFonts w:hint="eastAsia" w:ascii="楷体" w:hAnsi="楷体" w:eastAsia="楷体" w:cs="楷体"/>
                <w:sz w:val="24"/>
              </w:rPr>
              <w:t xml:space="preserve">度：灯头距离地面高度≥2.00M。</w:t>
            </w:r>
            <w:r/>
          </w:p>
          <w:p>
            <w:pPr>
              <w:pStyle w:val="729"/>
              <w:rPr>
                <w:rFonts w:hint="eastAsia" w:ascii="楷体" w:hAnsi="楷体" w:eastAsia="楷体" w:cs="楷体"/>
                <w:sz w:val="24"/>
              </w:rPr>
            </w:pPr>
            <w:r>
              <w:rPr>
                <w:rFonts w:hint="eastAsia" w:ascii="楷体" w:hAnsi="楷体" w:eastAsia="楷体" w:cs="楷体"/>
                <w:sz w:val="24"/>
              </w:rPr>
              <w:t xml:space="preserve">▲3、照明角度：灯头可在0-180°范围内调节并可通过旋转灯头实现水平0-360°内泛光照明；连续工作时间：强光工作时间≥8H，工作光工作时间≥16H；灯头照度：开启照明系统灯头时，距两个灯头中心2m处的光斑中心照度，工作模式≥5500lx，强光模式≥7800lx。</w:t>
            </w:r>
            <w:r/>
          </w:p>
          <w:p>
            <w:pPr>
              <w:pStyle w:val="729"/>
              <w:rPr>
                <w:rFonts w:hint="eastAsia" w:ascii="楷体" w:hAnsi="楷体" w:eastAsia="楷体" w:cs="楷体"/>
                <w:sz w:val="24"/>
              </w:rPr>
            </w:pPr>
            <w:r>
              <w:rPr>
                <w:rFonts w:hint="eastAsia" w:ascii="楷体" w:hAnsi="楷体" w:eastAsia="楷体" w:cs="楷体"/>
                <w:sz w:val="24"/>
              </w:rPr>
              <w:t xml:space="preserve">▲4、高温试验：温度55±2℃；持续时间2H；低温试验：温度-25±3℃，持续时间2H；恒定湿热试验：温度40±2℃，相对湿度93%，持续时间48H。</w:t>
            </w:r>
            <w:r/>
          </w:p>
          <w:p>
            <w:pPr>
              <w:pStyle w:val="729"/>
              <w:rPr>
                <w:rFonts w:hint="eastAsia" w:ascii="楷体" w:hAnsi="楷体" w:eastAsia="楷体" w:cs="楷体"/>
                <w:sz w:val="24"/>
              </w:rPr>
            </w:pPr>
            <w:r>
              <w:rPr>
                <w:rFonts w:hint="eastAsia" w:ascii="楷体" w:hAnsi="楷体" w:eastAsia="楷体" w:cs="楷体"/>
                <w:b/>
                <w:bCs/>
                <w:sz w:val="24"/>
              </w:rPr>
              <w:t xml:space="preserve">注：上述标注▲须提供符合GB/T15211-2013标准要求的带CMA标识的检测报告。</w:t>
            </w:r>
            <w:r>
              <w:rPr>
                <w:rFonts w:hint="eastAsia" w:ascii="楷体" w:hAnsi="楷体" w:eastAsia="楷体" w:cs="楷体"/>
                <w:sz w:val="24"/>
              </w:rPr>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盏</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5</w:t>
            </w:r>
            <w:r>
              <w:rPr>
                <w:rFonts w:hint="eastAsia" w:ascii="楷体" w:hAnsi="楷体" w:eastAsia="楷体" w:cs="楷体"/>
                <w:b/>
                <w:bCs/>
                <w:sz w:val="24"/>
              </w:rPr>
            </w:r>
            <w:r/>
          </w:p>
        </w:tc>
      </w:tr>
      <w:tr>
        <w:trPr>
          <w:trHeight w:val="730"/>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充电器</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容量：≥10000毫安；类型：锂离子聚合物       </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1、输出：5V/3A,9V/2.22A ,12V/1.5A  输入：5V/3A,9V/2A,12V/1.5A</w:t>
            </w:r>
            <w:r/>
          </w:p>
          <w:p>
            <w:pPr>
              <w:pStyle w:val="729"/>
              <w:rPr>
                <w:rFonts w:hint="eastAsia" w:ascii="楷体" w:hAnsi="楷体" w:eastAsia="楷体" w:cs="楷体"/>
                <w:sz w:val="24"/>
              </w:rPr>
            </w:pPr>
            <w:r>
              <w:rPr>
                <w:rFonts w:hint="eastAsia" w:ascii="楷体" w:hAnsi="楷体" w:eastAsia="楷体" w:cs="楷体"/>
                <w:sz w:val="24"/>
              </w:rPr>
              <w:t xml:space="preserve">2、总功率：≥22.5W ；USB接口</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个</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w:t>
            </w:r>
            <w:r>
              <w:rPr>
                <w:rFonts w:hint="eastAsia" w:ascii="楷体" w:hAnsi="楷体" w:eastAsia="楷体" w:cs="楷体"/>
                <w:b/>
                <w:bCs/>
                <w:sz w:val="24"/>
              </w:rPr>
            </w:r>
            <w:r/>
          </w:p>
        </w:tc>
      </w:tr>
      <w:tr>
        <w:trPr>
          <w:trHeight w:val="983"/>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多功能睡袋</w:t>
            </w:r>
            <w:r/>
          </w:p>
        </w:tc>
        <w:tc>
          <w:tcPr>
            <w:tcW w:w="1734"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长215cm（±5cm）,脚宽50cm（±3cm）,头宽75cm（±3cm）,头高63cm（±3cm）,脚高 30cm（±2cm）</w:t>
            </w:r>
            <w:r/>
          </w:p>
          <w:p>
            <w:pPr>
              <w:pStyle w:val="988"/>
              <w:ind w:left="0" w:firstLine="0"/>
              <w:spacing w:line="240" w:lineRule="auto"/>
              <w:rPr>
                <w:rFonts w:hint="eastAsia" w:ascii="楷体" w:hAnsi="楷体" w:eastAsia="楷体" w:cs="楷体"/>
              </w:rPr>
            </w:pPr>
            <w:r>
              <w:rPr>
                <w:rFonts w:hint="eastAsia" w:ascii="楷体" w:hAnsi="楷体" w:eastAsia="楷体" w:cs="楷体"/>
              </w:r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▲1、重量：≥3.5kg。</w:t>
            </w:r>
            <w:r/>
          </w:p>
          <w:p>
            <w:pPr>
              <w:pStyle w:val="729"/>
              <w:rPr>
                <w:rFonts w:hint="eastAsia" w:ascii="楷体" w:hAnsi="楷体" w:eastAsia="楷体" w:cs="楷体"/>
                <w:sz w:val="24"/>
              </w:rPr>
            </w:pPr>
            <w:r>
              <w:rPr>
                <w:rFonts w:hint="eastAsia" w:ascii="楷体" w:hAnsi="楷体" w:eastAsia="楷体" w:cs="楷体"/>
                <w:sz w:val="24"/>
              </w:rPr>
              <w:t xml:space="preserve">▲2、外雨罩：190T PU涂层网格布，克重≥58g/㎡</w:t>
            </w:r>
            <w:r>
              <w:rPr>
                <w:rFonts w:hint="eastAsia" w:ascii="楷体" w:hAnsi="楷体" w:eastAsia="楷体" w:cs="楷体"/>
                <w:sz w:val="24"/>
              </w:rPr>
              <w:t xml:space="preserve">；睡袋：春亚纺，克重≥55g/㎡，填充采用300g/㎡保暖絮片；睡垫：面料采用210DPVC牛津布，填充材质为热熔棉或珍珠棉，厚度2cm。</w:t>
            </w:r>
            <w:r/>
          </w:p>
          <w:p>
            <w:pPr>
              <w:pStyle w:val="729"/>
              <w:rPr>
                <w:rFonts w:hint="eastAsia" w:ascii="楷体" w:hAnsi="楷体" w:eastAsia="楷体" w:cs="楷体"/>
                <w:sz w:val="24"/>
              </w:rPr>
            </w:pPr>
            <w:r>
              <w:rPr>
                <w:rFonts w:hint="eastAsia" w:ascii="楷体" w:hAnsi="楷体" w:eastAsia="楷体" w:cs="楷体"/>
                <w:sz w:val="24"/>
              </w:rPr>
              <w:t xml:space="preserve">3、颜色：外雨罩颜色为棕绿色或草绿色或天蓝色；睡袋、睡垫为草绿色或天蓝色。 </w:t>
            </w:r>
            <w:r/>
          </w:p>
          <w:p>
            <w:pPr>
              <w:pStyle w:val="729"/>
              <w:rPr>
                <w:rFonts w:hint="eastAsia" w:ascii="楷体" w:hAnsi="楷体" w:eastAsia="楷体" w:cs="楷体"/>
                <w:sz w:val="24"/>
              </w:rPr>
            </w:pPr>
            <w:r>
              <w:rPr>
                <w:rFonts w:hint="eastAsia" w:ascii="楷体" w:hAnsi="楷体" w:eastAsia="楷体" w:cs="楷体"/>
                <w:sz w:val="24"/>
              </w:rPr>
              <w:t xml:space="preserve">4、睡袋缝纫线路顺直，针距均匀，距边宽窄一致。密封胶条粘平、粘牢。除无胶部位外，其余部位密封胶条两边不能起翘。线迹位于密封胶条的中间，并密封良好。钩桩表面光洁，氧化层完整，无脏污蚀斑、无毛刺。塑料件表面光滑，无毛刺、疤痕等缺陷。杆件的主管与销管结合牢固，无松动。杆件表面光洁，插拔顺畅，无划伤、无变形。两头口边内外倒圆光滑，无破损、无毛刺。内穿绳松紧适度，结头牢固。</w:t>
            </w:r>
            <w:r/>
          </w:p>
          <w:p>
            <w:pPr>
              <w:pStyle w:val="729"/>
              <w:rPr>
                <w:rFonts w:hint="eastAsia" w:ascii="楷体" w:hAnsi="楷体" w:eastAsia="楷体" w:cs="楷体"/>
                <w:sz w:val="24"/>
              </w:rPr>
            </w:pPr>
            <w:r>
              <w:rPr>
                <w:rFonts w:hint="eastAsia" w:ascii="楷体" w:hAnsi="楷体" w:eastAsia="楷体" w:cs="楷体"/>
                <w:sz w:val="24"/>
              </w:rPr>
              <w:t xml:space="preserve">5、包装及标志：单件使用PVC塑料袋单独包装包装，每个睡袋由外雨罩、睡袋、睡垫合并打包，外包由防水牛津布制作而成，具有防水、防潮、耐磨抗压，易存储效果。外包装印有产品名称、数量、质量、生产年月、生产批号、承制单位名称、监制单位名称和（xx应急）字样，字体大小适宜清晰。</w:t>
            </w:r>
            <w:r/>
          </w:p>
          <w:p>
            <w:pPr>
              <w:pStyle w:val="729"/>
              <w:rPr>
                <w:rFonts w:hint="eastAsia" w:ascii="楷体" w:hAnsi="楷体" w:eastAsia="楷体" w:cs="楷体"/>
                <w:sz w:val="24"/>
              </w:rPr>
            </w:pPr>
            <w:r>
              <w:rPr>
                <w:rFonts w:hint="eastAsia" w:ascii="楷体" w:hAnsi="楷体" w:eastAsia="楷体" w:cs="楷体"/>
                <w:b/>
                <w:bCs/>
                <w:color w:val="000000"/>
                <w:sz w:val="24"/>
              </w:rPr>
              <w:t xml:space="preserve">注：上述标注▲提供符合FZ/T62045-2021&lt;&lt;中华人民共和国纺织行业标准》的带CMA标识的检测报告。</w:t>
            </w:r>
            <w:r>
              <w:rPr>
                <w:rFonts w:hint="eastAsia" w:ascii="楷体" w:hAnsi="楷体" w:eastAsia="楷体" w:cs="楷体"/>
                <w:sz w:val="24"/>
              </w:rPr>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个</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980"/>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防潮垫</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ascii="楷体" w:hAnsi="楷体" w:eastAsia="楷体" w:cs="楷体"/>
              </w:rPr>
              <w:t xml:space="preserve">200*90*3</w:t>
            </w:r>
            <w:r>
              <w:rPr>
                <w:rFonts w:hint="eastAsia" w:ascii="楷体" w:hAnsi="楷体" w:eastAsia="楷体" w:cs="楷体"/>
              </w:rPr>
              <w:t xml:space="preserve">（</w:t>
            </w:r>
            <w:r>
              <w:rPr>
                <w:rFonts w:ascii="楷体" w:hAnsi="楷体" w:eastAsia="楷体" w:cs="楷体"/>
              </w:rPr>
              <w:t xml:space="preserve">CM</w:t>
            </w:r>
            <w:r>
              <w:rPr>
                <w:rFonts w:hint="eastAsia" w:ascii="楷体" w:hAnsi="楷体" w:eastAsia="楷体" w:cs="楷体"/>
              </w:rPr>
              <w:t xml:space="preserve">）</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w:t>
            </w:r>
            <w:r>
              <w:rPr>
                <w:rFonts w:hint="eastAsia" w:ascii="楷体" w:hAnsi="楷体" w:eastAsia="楷体" w:cs="楷体"/>
                <w:sz w:val="24"/>
              </w:rPr>
              <w:t xml:space="preserve">外观：可折叠，防潮垫正背面平坦、无破边、无瑕疵、破洞、拉毛、油污斑渍、布面均匀、无塌边、缺角、四周立体直角包边。</w:t>
            </w:r>
            <w:r/>
          </w:p>
          <w:p>
            <w:pPr>
              <w:pStyle w:val="729"/>
              <w:rPr>
                <w:rFonts w:hint="eastAsia" w:ascii="楷体" w:hAnsi="楷体" w:eastAsia="楷体" w:cs="楷体"/>
                <w:sz w:val="24"/>
              </w:rPr>
            </w:pPr>
            <w:r>
              <w:rPr>
                <w:rFonts w:hint="eastAsia" w:ascii="楷体" w:hAnsi="楷体" w:eastAsia="楷体" w:cs="楷体"/>
                <w:sz w:val="24"/>
              </w:rPr>
              <w:t xml:space="preserve">2、面料：100%聚酯纤维或低弹丝牛津布；底部和四周包边为整幅防水600D牛津布，克重≥300g/m²。</w:t>
            </w:r>
            <w:r/>
          </w:p>
          <w:p>
            <w:pPr>
              <w:pStyle w:val="729"/>
              <w:rPr>
                <w:rFonts w:hint="eastAsia" w:ascii="楷体" w:hAnsi="楷体" w:eastAsia="楷体" w:cs="楷体"/>
                <w:sz w:val="24"/>
              </w:rPr>
            </w:pPr>
            <w:r>
              <w:rPr>
                <w:rFonts w:hint="eastAsia" w:ascii="楷体" w:hAnsi="楷体" w:eastAsia="楷体" w:cs="楷体"/>
                <w:sz w:val="24"/>
              </w:rPr>
              <w:t xml:space="preserve">3、重量：≥2kg。</w:t>
            </w:r>
            <w:r/>
          </w:p>
          <w:p>
            <w:pPr>
              <w:pStyle w:val="729"/>
              <w:rPr>
                <w:rFonts w:hint="eastAsia" w:ascii="楷体" w:hAnsi="楷体" w:eastAsia="楷体" w:cs="楷体"/>
                <w:sz w:val="24"/>
              </w:rPr>
            </w:pPr>
            <w:r>
              <w:rPr>
                <w:rFonts w:hint="eastAsia" w:ascii="楷体" w:hAnsi="楷体" w:eastAsia="楷体" w:cs="楷体"/>
                <w:sz w:val="24"/>
              </w:rPr>
              <w:t xml:space="preserve">▲4、填充物:热熔棉或珍珠棉，克重≥1000g/m</w:t>
            </w:r>
            <w:r>
              <w:rPr>
                <w:rFonts w:ascii="Calibri" w:hAnsi="Calibri" w:eastAsia="楷体" w:cs="Calibri"/>
                <w:sz w:val="24"/>
              </w:rPr>
              <w:t xml:space="preserve">²</w:t>
            </w:r>
            <w:r>
              <w:rPr>
                <w:rFonts w:hint="eastAsia" w:ascii="楷体" w:hAnsi="楷体" w:eastAsia="楷体" w:cs="楷体"/>
                <w:sz w:val="24"/>
              </w:rPr>
              <w:t xml:space="preserve">。 铺棉均匀平坦，厚薄一致，手感无棉块，包边整齐，四边平直，四角方正。</w:t>
            </w:r>
            <w:r/>
          </w:p>
          <w:p>
            <w:pPr>
              <w:pStyle w:val="729"/>
              <w:rPr>
                <w:rFonts w:hint="eastAsia" w:ascii="楷体" w:hAnsi="楷体" w:eastAsia="楷体" w:cs="楷体"/>
                <w:sz w:val="24"/>
              </w:rPr>
            </w:pPr>
            <w:r>
              <w:rPr>
                <w:rFonts w:hint="eastAsia" w:ascii="楷体" w:hAnsi="楷体" w:eastAsia="楷体" w:cs="楷体"/>
                <w:sz w:val="24"/>
              </w:rPr>
              <w:t xml:space="preserve">5、包装及标志：单件使用PVC塑料袋单独包装包装，外包装由防水牛津布制作而成，具有防水、防潮、耐磨抗压，易存储效果。标识：包装上注明：产品名称、尺寸、数量、重量、生产日期、承制单位和监制单位。</w:t>
            </w:r>
            <w:r/>
          </w:p>
          <w:p>
            <w:pPr>
              <w:pStyle w:val="729"/>
              <w:rPr>
                <w:rFonts w:hint="eastAsia" w:ascii="楷体" w:hAnsi="楷体" w:eastAsia="楷体" w:cs="楷体"/>
                <w:sz w:val="24"/>
              </w:rPr>
            </w:pPr>
            <w:r>
              <w:rPr>
                <w:rFonts w:hint="eastAsia" w:ascii="楷体" w:hAnsi="楷体" w:eastAsia="楷体" w:cs="楷体"/>
                <w:b/>
                <w:bCs/>
                <w:sz w:val="24"/>
              </w:rPr>
              <w:t xml:space="preserve">注：上述标注▲提供符合GB/T26125-2011六种限用物质（铅、汞、镉、六价铬、多溴联苯、多溴二苯醚）标准的带CMA标识的检测报告。</w:t>
            </w:r>
            <w:r>
              <w:rPr>
                <w:rFonts w:hint="eastAsia" w:ascii="楷体" w:hAnsi="楷体" w:eastAsia="楷体" w:cs="楷体"/>
                <w:sz w:val="24"/>
              </w:rPr>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300</w:t>
            </w:r>
            <w:r>
              <w:rPr>
                <w:rFonts w:hint="eastAsia" w:ascii="楷体" w:hAnsi="楷体" w:eastAsia="楷体" w:cs="楷体"/>
                <w:b/>
                <w:bCs/>
                <w:sz w:val="24"/>
              </w:rPr>
            </w:r>
            <w:r/>
          </w:p>
        </w:tc>
      </w:tr>
      <w:tr>
        <w:trPr>
          <w:trHeight w:val="1134"/>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空气填充泵</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r>
            <w:r/>
          </w:p>
        </w:tc>
        <w:tc>
          <w:tcPr>
            <w:tcW w:w="9658" w:type="dxa"/>
            <w:vAlign w:val="center"/>
            <w:textDirection w:val="lrTb"/>
            <w:noWrap w:val="false"/>
          </w:tcPr>
          <w:p>
            <w:pPr>
              <w:pStyle w:val="729"/>
              <w:tabs>
                <w:tab w:val="left" w:pos="312" w:leader="none"/>
              </w:tabs>
              <w:rPr>
                <w:rFonts w:hint="eastAsia" w:ascii="楷体" w:hAnsi="楷体" w:eastAsia="楷体" w:cs="楷体"/>
                <w:sz w:val="24"/>
              </w:rPr>
            </w:pPr>
            <w:r>
              <w:rPr>
                <w:rFonts w:hint="eastAsia" w:ascii="楷体" w:hAnsi="楷体" w:eastAsia="楷体" w:cs="楷体"/>
                <w:sz w:val="24"/>
              </w:rPr>
              <w:t xml:space="preserve">1、功率:≥2.2kw；排量: ≥100L/min；压缩机气缸数：4缸；工作压力:20-30Mpa；</w:t>
            </w:r>
            <w:r/>
          </w:p>
          <w:p>
            <w:pPr>
              <w:pStyle w:val="729"/>
              <w:rPr>
                <w:rFonts w:hint="eastAsia" w:ascii="楷体" w:hAnsi="楷体" w:eastAsia="楷体" w:cs="楷体"/>
                <w:sz w:val="24"/>
              </w:rPr>
            </w:pPr>
            <w:r>
              <w:rPr>
                <w:rFonts w:hint="eastAsia" w:ascii="楷体" w:hAnsi="楷体" w:eastAsia="楷体" w:cs="楷体"/>
                <w:sz w:val="24"/>
              </w:rPr>
              <w:t xml:space="preserve">驱动方式:三相电机 ；形式：4级压缩往复活塞式；冷却方式：风冷         </w:t>
            </w:r>
            <w:r/>
          </w:p>
          <w:p>
            <w:pPr>
              <w:pStyle w:val="729"/>
              <w:rPr>
                <w:rFonts w:hint="eastAsia" w:ascii="楷体" w:hAnsi="楷体" w:eastAsia="楷体" w:cs="楷体"/>
                <w:sz w:val="24"/>
              </w:rPr>
            </w:pPr>
            <w:r>
              <w:rPr>
                <w:rFonts w:hint="eastAsia" w:ascii="楷体" w:hAnsi="楷体" w:eastAsia="楷体" w:cs="楷体"/>
                <w:sz w:val="24"/>
              </w:rPr>
              <w:t xml:space="preserve">2、噪音:≤81.7db                 </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台</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b/>
                <w:bCs/>
                <w:sz w:val="24"/>
              </w:rPr>
              <w:t xml:space="preserve">3</w:t>
            </w:r>
            <w:r/>
          </w:p>
        </w:tc>
      </w:tr>
      <w:tr>
        <w:trPr>
          <w:trHeight w:val="557"/>
        </w:trPr>
        <w:tc>
          <w:tcPr>
            <w:gridSpan w:val="6"/>
            <w:tcBorders>
              <w:top w:val="single" w:color="000000" w:sz="4" w:space="0"/>
              <w:left w:val="single" w:color="000000" w:sz="4" w:space="0"/>
              <w:bottom w:val="single" w:color="000000" w:sz="4" w:space="0"/>
            </w:tcBorders>
            <w:tcW w:w="13961"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b/>
                <w:bCs/>
                <w:sz w:val="30"/>
                <w:szCs w:val="30"/>
              </w:rPr>
              <w:t xml:space="preserve">二、床用纺织品</w:t>
            </w:r>
            <w:r>
              <w:rPr>
                <w:rFonts w:hint="eastAsia" w:ascii="楷体" w:hAnsi="楷体" w:eastAsia="楷体" w:cs="楷体"/>
                <w:b/>
                <w:bCs/>
                <w:sz w:val="24"/>
              </w:rPr>
            </w:r>
            <w:r/>
          </w:p>
        </w:tc>
      </w:tr>
      <w:tr>
        <w:trPr>
          <w:trHeight w:val="271"/>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14</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棉被</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150c</w:t>
            </w:r>
            <w:r>
              <w:rPr>
                <w:rFonts w:hint="eastAsia" w:ascii="楷体" w:hAnsi="楷体" w:eastAsia="楷体" w:cs="楷体"/>
              </w:rPr>
              <w:t xml:space="preserve">m*210cm</w:t>
            </w:r>
            <w:r>
              <w:rPr>
                <w:rFonts w:hint="eastAsia" w:ascii="楷体" w:hAnsi="楷体" w:eastAsia="楷体" w:cs="楷体"/>
              </w:rPr>
              <w:t xml:space="preserve">军绿</w:t>
            </w:r>
            <w:r>
              <w:rPr>
                <w:rFonts w:hint="eastAsia" w:ascii="楷体" w:hAnsi="楷体" w:eastAsia="楷体" w:cs="楷体"/>
              </w:rPr>
              <w:t xml:space="preserve">色</w:t>
            </w:r>
            <w:r/>
          </w:p>
        </w:tc>
        <w:tc>
          <w:tcPr>
            <w:tcW w:w="9658" w:type="dxa"/>
            <w:vAlign w:val="center"/>
            <w:textDirection w:val="lrTb"/>
            <w:noWrap w:val="false"/>
          </w:tcPr>
          <w:p>
            <w:pPr>
              <w:pStyle w:val="729"/>
              <w:rPr>
                <w:rFonts w:hint="eastAsia" w:ascii="楷体" w:hAnsi="楷体" w:eastAsia="楷体" w:cs="楷体"/>
                <w:highlight w:val="red"/>
              </w:rPr>
            </w:pPr>
            <w:r>
              <w:rPr>
                <w:rFonts w:hint="eastAsia" w:ascii="楷体" w:hAnsi="楷体" w:eastAsia="楷体" w:cs="楷体"/>
                <w:sz w:val="24"/>
              </w:rPr>
              <w:t xml:space="preserve"> ▲1、面料：棉100%，密度：经向密度：300±5%根/10cm、纬向密度：280±5%根/10cm。撕破强力：经向≥8N、纬向≥7N;断裂强力：经向≥350N、纬向≥350N。线密度：经向线密度：18 ±10%tex；纬向线密度：18±10%tex。</w:t>
            </w:r>
            <w:r>
              <w:rPr>
                <w:rFonts w:hint="eastAsia" w:ascii="楷体" w:hAnsi="楷体" w:eastAsia="楷体" w:cs="楷体"/>
                <w:b/>
                <w:bCs/>
                <w:sz w:val="24"/>
              </w:rPr>
              <w:t xml:space="preserve">提供符合GB/T3917.1-2009《纺织品 织物撕破性能 第一部分：冲击摆锤法撕破强力的测定》和GB/T22796-2021《 床上用品》标准的的带CMA标识的检测报告。</w:t>
            </w:r>
            <w:r>
              <w:rPr>
                <w:rFonts w:hint="eastAsia" w:ascii="楷体" w:hAnsi="楷体" w:eastAsia="楷体" w:cs="楷体"/>
                <w:highlight w:val="red"/>
              </w:rPr>
            </w:r>
            <w:r/>
          </w:p>
          <w:p>
            <w:pPr>
              <w:pStyle w:val="729"/>
              <w:rPr>
                <w:rFonts w:hint="eastAsia" w:ascii="楷体" w:hAnsi="楷体" w:eastAsia="楷体" w:cs="楷体"/>
                <w:sz w:val="24"/>
              </w:rPr>
            </w:pPr>
            <w:r>
              <w:rPr>
                <w:rFonts w:hint="eastAsia" w:ascii="楷体" w:hAnsi="楷体" w:eastAsia="楷体" w:cs="楷体"/>
                <w:sz w:val="24"/>
              </w:rPr>
              <w:t xml:space="preserve">被胎：</w:t>
            </w:r>
            <w:r/>
          </w:p>
          <w:p>
            <w:pPr>
              <w:pStyle w:val="729"/>
              <w:tabs>
                <w:tab w:val="left" w:pos="312" w:leader="none"/>
              </w:tabs>
              <w:rPr>
                <w:rFonts w:hint="eastAsia" w:ascii="楷体" w:hAnsi="楷体" w:eastAsia="楷体" w:cs="楷体"/>
                <w:b/>
                <w:bCs/>
                <w:sz w:val="24"/>
              </w:rPr>
            </w:pPr>
            <w:r>
              <w:rPr>
                <w:rFonts w:hint="eastAsia" w:ascii="楷体" w:hAnsi="楷体" w:eastAsia="楷体" w:cs="楷体"/>
                <w:sz w:val="24"/>
              </w:rPr>
              <w:t xml:space="preserve">▲2、棉100%，梳棉颜色级≥白棉二级，短纤维含量≤20%，研磨率≥80%，含杂率≤0.5%；卫生要求：不得检出绿胧杆菌、金黄色葡萄球菌和溶血性链菌等致病菌;肉眼观察不得检出蚤、蜱、臭虫等可能传播疾病与危害健康的节足动物和蟑螂卵夹。网目：≥340个/100平方厘；保温性能：≥0.7CLO。</w:t>
            </w:r>
            <w:r>
              <w:rPr>
                <w:rFonts w:hint="eastAsia" w:ascii="楷体" w:hAnsi="楷体" w:eastAsia="楷体" w:cs="楷体"/>
                <w:b/>
                <w:bCs/>
                <w:sz w:val="24"/>
              </w:rPr>
              <w:t xml:space="preserve">提供符合GB/T 29862 、GB/T 22796-2021《床上用品》、GB/T35932-2018《梳棉胎》标准要求的带CMA标识的检测报告。</w:t>
            </w:r>
            <w:r/>
          </w:p>
          <w:p>
            <w:pPr>
              <w:pStyle w:val="729"/>
              <w:rPr>
                <w:rFonts w:hint="eastAsia" w:ascii="楷体" w:hAnsi="楷体" w:eastAsia="楷体" w:cs="楷体"/>
                <w:sz w:val="24"/>
              </w:rPr>
            </w:pPr>
            <w:r>
              <w:rPr>
                <w:rFonts w:hint="eastAsia" w:ascii="楷体" w:hAnsi="楷体" w:eastAsia="楷体" w:cs="楷体"/>
                <w:sz w:val="24"/>
              </w:rPr>
              <w:t xml:space="preserve">▲3、重量：2kg；压缩回弹性能：压缩率：≥40%;回复率：≥90%；</w:t>
            </w:r>
            <w:r/>
          </w:p>
          <w:p>
            <w:pPr>
              <w:pStyle w:val="729"/>
              <w:rPr>
                <w:rFonts w:hint="eastAsia" w:ascii="楷体" w:hAnsi="楷体" w:eastAsia="楷体" w:cs="楷体"/>
                <w:sz w:val="24"/>
              </w:rPr>
            </w:pPr>
            <w:r>
              <w:rPr>
                <w:rFonts w:hint="eastAsia" w:ascii="楷体" w:hAnsi="楷体" w:eastAsia="楷体" w:cs="楷体"/>
                <w:sz w:val="24"/>
              </w:rPr>
              <w:t xml:space="preserve">4、外观状态：外观洁白、无杂色、无粉尘、色洁白或乳白</w:t>
            </w:r>
            <w:r>
              <w:rPr>
                <w:rFonts w:hint="eastAsia" w:ascii="楷体" w:hAnsi="楷体" w:eastAsia="楷体" w:cs="楷体"/>
                <w:sz w:val="24"/>
              </w:rPr>
              <w:t xml:space="preserve">，色泽一致性好，光泽较好，手感柔软，不污损、不发霉、变质；</w:t>
            </w:r>
            <w:r/>
          </w:p>
          <w:p>
            <w:pPr>
              <w:pStyle w:val="729"/>
              <w:rPr>
                <w:rFonts w:hint="eastAsia" w:ascii="楷体" w:hAnsi="楷体" w:eastAsia="楷体" w:cs="楷体"/>
                <w:color w:val="e40000"/>
                <w:sz w:val="24"/>
              </w:rPr>
            </w:pPr>
            <w:r>
              <w:rPr>
                <w:rFonts w:hint="eastAsia" w:ascii="楷体" w:hAnsi="楷体" w:eastAsia="楷体" w:cs="楷体"/>
                <w:sz w:val="24"/>
              </w:rPr>
              <w:t xml:space="preserve">5、包装及标志：每条棉被装一个透明聚乙烯薄膜袋，每件真空包装，外包装由防水牛津布制作而成，防水防潮、耐磨抗压、易存效果。标识：包装上注明：产品名称、尺寸、数量、重量、生产日期、承制单位和监制单位。</w:t>
            </w:r>
            <w:r>
              <w:rPr>
                <w:rFonts w:hint="eastAsia" w:ascii="楷体" w:hAnsi="楷体" w:eastAsia="楷体" w:cs="楷体"/>
                <w:color w:val="e40000"/>
                <w:sz w:val="24"/>
              </w:rPr>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300</w:t>
            </w:r>
            <w:r>
              <w:rPr>
                <w:rFonts w:hint="eastAsia" w:ascii="楷体" w:hAnsi="楷体" w:eastAsia="楷体" w:cs="楷体"/>
                <w:b/>
                <w:bCs/>
                <w:sz w:val="24"/>
              </w:rPr>
            </w:r>
            <w:r/>
          </w:p>
        </w:tc>
      </w:tr>
      <w:tr>
        <w:trPr>
          <w:trHeight w:val="1501"/>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毛毯</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1.5m*1.95m</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1、材质：100%聚酯纤维，柔软保暖，手感膨松柔软，不霉不烂不怕虫蛀，透气性好。</w:t>
            </w:r>
            <w:r/>
          </w:p>
          <w:p>
            <w:pPr>
              <w:pStyle w:val="729"/>
              <w:rPr>
                <w:rFonts w:hint="eastAsia" w:ascii="楷体" w:hAnsi="楷体" w:eastAsia="楷体" w:cs="楷体"/>
                <w:sz w:val="24"/>
              </w:rPr>
            </w:pPr>
            <w:r>
              <w:rPr>
                <w:rFonts w:hint="eastAsia" w:ascii="楷体" w:hAnsi="楷体" w:eastAsia="楷体" w:cs="楷体"/>
                <w:sz w:val="24"/>
              </w:rPr>
              <w:t xml:space="preserve">重量：≥1500克</w:t>
            </w:r>
            <w:r/>
          </w:p>
          <w:p>
            <w:pPr>
              <w:pStyle w:val="729"/>
              <w:rPr>
                <w:rFonts w:hint="eastAsia" w:ascii="楷体" w:hAnsi="楷体" w:eastAsia="楷体" w:cs="楷体"/>
                <w:sz w:val="24"/>
              </w:rPr>
            </w:pPr>
            <w:r>
              <w:rPr>
                <w:rFonts w:hint="eastAsia" w:ascii="楷体" w:hAnsi="楷体" w:eastAsia="楷体" w:cs="楷体"/>
                <w:sz w:val="24"/>
              </w:rPr>
              <w:t xml:space="preserve">2、包装及标志：单件使用PVC塑料袋单独包装，外包装由防水牛津布制作而成，具有防水防潮、耐磨抗压、易存储效果。标志：并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1835"/>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16</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夏凉被</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210cm*150cm。</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1、面料采用全棉印花平布，单幅不允许拼接。面、里色差不低于3－4级，缝纫线的颜色与面料相匹配。面料经过预缩水处理。</w:t>
            </w:r>
            <w:r/>
          </w:p>
          <w:p>
            <w:pPr>
              <w:pStyle w:val="729"/>
              <w:rPr>
                <w:rFonts w:hint="eastAsia" w:ascii="楷体" w:hAnsi="楷体" w:eastAsia="楷体" w:cs="楷体"/>
                <w:sz w:val="24"/>
              </w:rPr>
            </w:pPr>
            <w:r>
              <w:rPr>
                <w:rFonts w:hint="eastAsia" w:ascii="楷体" w:hAnsi="楷体" w:eastAsia="楷体" w:cs="楷体"/>
                <w:sz w:val="24"/>
              </w:rPr>
              <w:t xml:space="preserve">2、被胎材料为中空涤纶短纤维，絮料选用中空纤维棉絮片；被胎总重量≥300g；采用被面、被胎一体式绗缝，四周包边。</w:t>
            </w:r>
            <w:r/>
          </w:p>
          <w:p>
            <w:pPr>
              <w:pStyle w:val="729"/>
              <w:rPr>
                <w:rFonts w:hint="eastAsia" w:ascii="楷体" w:hAnsi="楷体" w:eastAsia="楷体" w:cs="楷体"/>
                <w:sz w:val="24"/>
              </w:rPr>
            </w:pPr>
            <w:r>
              <w:rPr>
                <w:rFonts w:hint="eastAsia" w:ascii="楷体" w:hAnsi="楷体" w:eastAsia="楷体" w:cs="楷体"/>
                <w:sz w:val="24"/>
              </w:rPr>
              <w:t xml:space="preserve">3、包装及标志：外包装为蓝色聚丙烯防水编织布，内层每件薄被装一个白色聚乙烯薄膜袋，每件真空包装。包装标</w:t>
            </w:r>
            <w:r>
              <w:rPr>
                <w:rFonts w:hint="eastAsia" w:ascii="楷体" w:hAnsi="楷体" w:eastAsia="楷体" w:cs="楷体"/>
                <w:sz w:val="24"/>
              </w:rPr>
              <w:t xml:space="preserve">志：外包由防水牛津布制作而成，具有防水防潮、耐磨抗压、易存储效果。外包装印有产品名称、数量、质量、生产年月、生产批号、承制单位名称、监制单位名称和（xx应急）字样，字体大小适宜清晰。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1693"/>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17</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毛巾被</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150cm×200cm</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1、材质：毛巾被为21支精梳紧密纺纯棉纱线100%全棉；重量：≥1000g；颜色：橄榄绿或军绿；</w:t>
            </w:r>
            <w:r/>
          </w:p>
          <w:p>
            <w:pPr>
              <w:pStyle w:val="729"/>
              <w:rPr>
                <w:rFonts w:hint="eastAsia" w:ascii="楷体" w:hAnsi="楷体" w:eastAsia="楷体" w:cs="楷体"/>
                <w:sz w:val="24"/>
              </w:rPr>
            </w:pPr>
            <w:r>
              <w:rPr>
                <w:rFonts w:hint="eastAsia" w:ascii="楷体" w:hAnsi="楷体" w:eastAsia="楷体" w:cs="楷体"/>
                <w:sz w:val="24"/>
              </w:rPr>
              <w:t xml:space="preserve">2、包装及标志：单件真空包装。包装、外包由防水牛津布制作而成，具有防水防潮、耐磨抗压、易存储效果。外包装印有产品名称、数量、质量、生产年月、生产批号、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413"/>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棉褥</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200cm*150cm；被胎：2kg</w:t>
            </w:r>
            <w:r/>
          </w:p>
        </w:tc>
        <w:tc>
          <w:tcPr>
            <w:tcW w:w="9658" w:type="dxa"/>
            <w:vAlign w:val="center"/>
            <w:textDirection w:val="lrTb"/>
            <w:noWrap w:val="false"/>
          </w:tcPr>
          <w:p>
            <w:pPr>
              <w:pStyle w:val="729"/>
              <w:tabs>
                <w:tab w:val="left" w:pos="312" w:leader="none"/>
              </w:tabs>
              <w:rPr>
                <w:rFonts w:hint="eastAsia" w:ascii="楷体" w:hAnsi="楷体" w:eastAsia="楷体" w:cs="楷体"/>
                <w:b/>
                <w:bCs/>
                <w:sz w:val="24"/>
              </w:rPr>
            </w:pPr>
            <w:r>
              <w:rPr>
                <w:rFonts w:hint="eastAsia" w:ascii="楷体" w:hAnsi="楷体" w:eastAsia="楷体" w:cs="楷体"/>
                <w:sz w:val="24"/>
              </w:rPr>
              <w:t xml:space="preserve">▲1、棉100%，梳棉颜色级≥白棉二级，短纤维含量≤20%，研磨率≥80%，含杂率≤0.5%；卫生要求：不得检出绿胧杆菌、金黄色葡萄球菌和溶血性链菌等致病菌;肉眼观察不得检出蚤、蜱、臭虫等可能传播疾病与危害健康的节足动物和蟑螂卵夹。网目：≥340个/100平方厘；保温性能：≥0.7CLO。</w:t>
            </w:r>
            <w:r>
              <w:rPr>
                <w:rFonts w:hint="eastAsia" w:ascii="楷体" w:hAnsi="楷体" w:eastAsia="楷体" w:cs="楷体"/>
                <w:b/>
                <w:bCs/>
                <w:sz w:val="24"/>
              </w:rPr>
              <w:t xml:space="preserve">提供符合GB/T 29862 、GB/T 22796-2021《床上用品》、GB/T35932-2018《梳棉胎》标准要</w:t>
            </w:r>
            <w:r>
              <w:rPr>
                <w:rFonts w:hint="eastAsia" w:ascii="楷体" w:hAnsi="楷体" w:eastAsia="楷体" w:cs="楷体"/>
                <w:b/>
                <w:bCs/>
                <w:sz w:val="24"/>
              </w:rPr>
              <w:t xml:space="preserve">求带CMA标识的检测报告。</w:t>
            </w:r>
            <w:r/>
          </w:p>
          <w:p>
            <w:pPr>
              <w:pStyle w:val="729"/>
              <w:rPr>
                <w:rFonts w:hint="eastAsia" w:ascii="楷体" w:hAnsi="楷体" w:eastAsia="楷体" w:cs="楷体"/>
                <w:sz w:val="24"/>
              </w:rPr>
            </w:pPr>
            <w:r>
              <w:rPr>
                <w:rFonts w:hint="eastAsia" w:ascii="楷体" w:hAnsi="楷体" w:eastAsia="楷体" w:cs="楷体"/>
                <w:sz w:val="24"/>
              </w:rPr>
              <w:t xml:space="preserve">2、压缩回弹性能：压缩率：≥40%;回复率：≥90%；</w:t>
            </w:r>
            <w:r/>
          </w:p>
          <w:p>
            <w:pPr>
              <w:pStyle w:val="729"/>
              <w:rPr>
                <w:rFonts w:hint="eastAsia" w:ascii="楷体" w:hAnsi="楷体" w:eastAsia="楷体" w:cs="楷体"/>
                <w:sz w:val="24"/>
              </w:rPr>
            </w:pPr>
            <w:r>
              <w:rPr>
                <w:rFonts w:hint="eastAsia" w:ascii="楷体" w:hAnsi="楷体" w:eastAsia="楷体" w:cs="楷体"/>
                <w:sz w:val="24"/>
              </w:rPr>
              <w:t xml:space="preserve">3、外观状态：外观洁白、无杂色、无粉尘、色洁白或乳白，色泽一致性好，光泽较好，手感柔软，不污损、不发霉、变质；</w:t>
            </w:r>
            <w:r/>
          </w:p>
          <w:p>
            <w:pPr>
              <w:pStyle w:val="729"/>
              <w:rPr>
                <w:rFonts w:hint="eastAsia" w:ascii="楷体" w:hAnsi="楷体" w:eastAsia="楷体" w:cs="楷体"/>
                <w:sz w:val="24"/>
              </w:rPr>
            </w:pPr>
            <w:r>
              <w:rPr>
                <w:rFonts w:hint="eastAsia" w:ascii="楷体" w:hAnsi="楷体" w:eastAsia="楷体" w:cs="楷体"/>
                <w:sz w:val="24"/>
              </w:rPr>
              <w:t xml:space="preserve">4、包装及标志：每条棉被装一个透明聚乙烯薄膜袋，每件真空包装，外包装由防水牛津布制作而成，防水防潮、耐磨抗压、易存效果。标识：包装上注明：产品名称、尺寸、数量、重量、生产日期、承制单位和监制单位。</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200</w:t>
            </w:r>
            <w:r>
              <w:rPr>
                <w:rFonts w:hint="eastAsia" w:ascii="楷体" w:hAnsi="楷体" w:eastAsia="楷体" w:cs="楷体"/>
                <w:b/>
                <w:bCs/>
                <w:sz w:val="24"/>
              </w:rPr>
            </w:r>
            <w:r/>
          </w:p>
        </w:tc>
      </w:tr>
      <w:tr>
        <w:trPr>
          <w:trHeight w:val="416"/>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19</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床单</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150cm*220cm；棉100%</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1、蓝色格子、军绿色或素色；</w:t>
            </w:r>
            <w:r/>
          </w:p>
          <w:p>
            <w:pPr>
              <w:pStyle w:val="729"/>
              <w:rPr>
                <w:rFonts w:hint="eastAsia" w:ascii="楷体" w:hAnsi="楷体" w:eastAsia="楷体" w:cs="楷体"/>
                <w:sz w:val="24"/>
              </w:rPr>
            </w:pPr>
            <w:r>
              <w:rPr>
                <w:rFonts w:hint="eastAsia" w:ascii="楷体" w:hAnsi="楷体" w:eastAsia="楷体" w:cs="楷体"/>
                <w:sz w:val="24"/>
              </w:rPr>
              <w:t xml:space="preserve">2、包装及标志：外包装为纸箱或聚丙烯吨包袋材质，防水防潮、耐磨抗压，易存储。标识：包装上注明：产品名称、尺寸、数量、重量、生产日期、承制单位和监制单位。</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床</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271"/>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凉席</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9</w:t>
            </w:r>
            <w:r>
              <w:rPr>
                <w:rFonts w:ascii="楷体" w:hAnsi="楷体" w:eastAsia="楷体" w:cs="楷体"/>
              </w:rPr>
              <w:t xml:space="preserve">0*200cm</w:t>
            </w:r>
            <w:r>
              <w:rPr>
                <w:rFonts w:hint="eastAsia" w:ascii="楷体" w:hAnsi="楷体" w:eastAsia="楷体" w:cs="楷体"/>
              </w:rPr>
              <w:t xml:space="preserve">，配套折叠床</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1、席面正面:100%纤维素材料（除包芯外）；芯线:100%聚酯纤维；包边:100%聚酯纤维；基底:100%丙纶；席面光滑平整，应符合国家纺织品安全技术B类标准。</w:t>
            </w:r>
            <w:r/>
          </w:p>
          <w:p>
            <w:pPr>
              <w:pStyle w:val="729"/>
              <w:rPr>
                <w:rFonts w:hint="eastAsia" w:ascii="楷体" w:hAnsi="楷体" w:eastAsia="楷体" w:cs="楷体"/>
                <w:sz w:val="24"/>
              </w:rPr>
            </w:pPr>
            <w:r>
              <w:rPr>
                <w:rFonts w:hint="eastAsia" w:ascii="楷体" w:hAnsi="楷体" w:eastAsia="楷体" w:cs="楷体"/>
                <w:sz w:val="24"/>
              </w:rPr>
              <w:t xml:space="preserve">2、包装及标志：单件使用PVC塑料袋单独包装，外包装为纸箱或聚丙烯吨包袋材质，防水耐磨抗压，易存储，耐转运，适用应急救灾场景。标识：包装上注明：产品名称、尺寸、数量</w:t>
            </w:r>
            <w:r>
              <w:rPr>
                <w:rFonts w:hint="eastAsia" w:ascii="楷体" w:hAnsi="楷体" w:eastAsia="楷体" w:cs="楷体"/>
                <w:sz w:val="24"/>
              </w:rPr>
              <w:t xml:space="preserve">、重量、生产日期、承制单位和监制单位名称和（xx应急）字样，字体大小适宜清晰。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张</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300</w:t>
            </w:r>
            <w:r>
              <w:rPr>
                <w:rFonts w:hint="eastAsia" w:ascii="楷体" w:hAnsi="楷体" w:eastAsia="楷体" w:cs="楷体"/>
                <w:b/>
                <w:bCs/>
                <w:sz w:val="24"/>
              </w:rPr>
            </w:r>
            <w:r/>
          </w:p>
        </w:tc>
      </w:tr>
      <w:tr>
        <w:trPr>
          <w:trHeight w:val="696"/>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蚊帐</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200</w:t>
            </w:r>
            <w:r>
              <w:rPr>
                <w:rFonts w:ascii="楷体" w:hAnsi="楷体" w:eastAsia="楷体" w:cs="楷体"/>
              </w:rPr>
              <w:t xml:space="preserve">×</w:t>
            </w:r>
            <w:r>
              <w:rPr>
                <w:rFonts w:hint="eastAsia" w:ascii="楷体" w:hAnsi="楷体" w:eastAsia="楷体" w:cs="楷体"/>
              </w:rPr>
              <w:t xml:space="preserve">1</w:t>
            </w:r>
            <w:r>
              <w:rPr>
                <w:rFonts w:ascii="楷体" w:hAnsi="楷体" w:eastAsia="楷体" w:cs="楷体"/>
              </w:rPr>
              <w:t xml:space="preserve">00×1</w:t>
            </w:r>
            <w:r>
              <w:rPr>
                <w:rFonts w:hint="eastAsia" w:ascii="楷体" w:hAnsi="楷体" w:eastAsia="楷体" w:cs="楷体"/>
              </w:rPr>
              <w:t xml:space="preserve">1</w:t>
            </w:r>
            <w:r>
              <w:rPr>
                <w:rFonts w:ascii="楷体" w:hAnsi="楷体" w:eastAsia="楷体" w:cs="楷体"/>
              </w:rPr>
              <w:t xml:space="preserve">0C</w:t>
            </w:r>
            <w:r>
              <w:rPr>
                <w:rFonts w:hint="eastAsia" w:ascii="楷体" w:hAnsi="楷体" w:eastAsia="楷体" w:cs="楷体"/>
              </w:rPr>
              <w:t xml:space="preserve">m</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1、颜色为素色或印花；纤维成份：100%聚酯纤维；支撑骨架：不锈钢或玻纤杆。</w:t>
            </w:r>
            <w:r/>
          </w:p>
          <w:p>
            <w:pPr>
              <w:pStyle w:val="729"/>
              <w:rPr>
                <w:rFonts w:hint="eastAsia" w:ascii="楷体" w:hAnsi="楷体" w:eastAsia="楷体" w:cs="楷体"/>
                <w:sz w:val="24"/>
              </w:rPr>
            </w:pPr>
            <w:r>
              <w:rPr>
                <w:rFonts w:hint="eastAsia" w:ascii="楷体" w:hAnsi="楷体" w:eastAsia="楷体" w:cs="楷体"/>
                <w:sz w:val="24"/>
              </w:rPr>
              <w:t xml:space="preserve">▲2、网眼密度：直向：≥16孔/5cm；横向：≥26孔/5cm；面料胀破强力：≥170Kpa；接缝胀破强力：≥150Kpa。</w:t>
            </w:r>
            <w:r>
              <w:rPr>
                <w:rFonts w:hint="eastAsia" w:ascii="楷体" w:hAnsi="楷体" w:eastAsia="楷体" w:cs="楷体"/>
                <w:b/>
                <w:bCs/>
                <w:sz w:val="24"/>
              </w:rPr>
              <w:t xml:space="preserve">提供符合FZ/T62014-2015标准的带CMA标识的检测报告。</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4、包及标志：单条蚊帐折叠整齐成φ70×3CM圆饼型后用织带锁住，装入PVC塑料袋中；包装标志：外包由防水牛津布制作而成，外包装印有产品名称、数量、质量、生产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565"/>
        </w:trPr>
        <w:tc>
          <w:tcPr>
            <w:gridSpan w:val="6"/>
            <w:tcBorders>
              <w:top w:val="single" w:color="000000" w:sz="4" w:space="0"/>
              <w:left w:val="single" w:color="000000" w:sz="4" w:space="0"/>
              <w:bottom w:val="single" w:color="000000" w:sz="4" w:space="0"/>
            </w:tcBorders>
            <w:tcW w:w="13961"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b/>
                <w:bCs/>
                <w:sz w:val="30"/>
                <w:szCs w:val="30"/>
              </w:rPr>
              <w:t xml:space="preserve">三、服装纺织品</w:t>
            </w:r>
            <w:r>
              <w:rPr>
                <w:rFonts w:hint="eastAsia" w:ascii="楷体" w:hAnsi="楷体" w:eastAsia="楷体" w:cs="楷体"/>
                <w:sz w:val="24"/>
              </w:rPr>
            </w:r>
            <w:r/>
          </w:p>
        </w:tc>
      </w:tr>
      <w:tr>
        <w:trPr>
          <w:trHeight w:val="853"/>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防寒服</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大号、中号和小号；藏青色</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w:t>
            </w:r>
            <w:r>
              <w:rPr>
                <w:rFonts w:ascii="楷体" w:hAnsi="楷体" w:eastAsia="楷体" w:cs="楷体"/>
                <w:sz w:val="24"/>
              </w:rPr>
              <w:t xml:space="preserve">、面料：100％聚酯纤维</w:t>
            </w:r>
            <w:r>
              <w:rPr>
                <w:rFonts w:hint="eastAsia" w:ascii="楷体" w:hAnsi="楷体" w:eastAsia="楷体" w:cs="楷体"/>
                <w:sz w:val="24"/>
              </w:rPr>
              <w:t xml:space="preserve">；填充物：100％聚酯纤维；克重≥200g/㎡；款式：款式设计需满足立面一体，领口立领。</w:t>
            </w:r>
            <w:r/>
          </w:p>
          <w:p>
            <w:pPr>
              <w:pStyle w:val="729"/>
              <w:rPr>
                <w:rFonts w:hint="eastAsia" w:ascii="楷体" w:hAnsi="楷体" w:eastAsia="楷体" w:cs="楷体"/>
                <w:sz w:val="24"/>
              </w:rPr>
            </w:pPr>
            <w:r>
              <w:rPr>
                <w:rFonts w:hint="eastAsia" w:ascii="楷体" w:hAnsi="楷体" w:eastAsia="楷体" w:cs="楷体"/>
                <w:sz w:val="24"/>
              </w:rPr>
              <w:t xml:space="preserve">2、</w:t>
            </w:r>
            <w:r>
              <w:rPr>
                <w:rFonts w:ascii="楷体" w:hAnsi="楷体" w:eastAsia="楷体" w:cs="楷体"/>
                <w:sz w:val="24"/>
              </w:rPr>
              <w:t xml:space="preserve">符合</w:t>
            </w:r>
            <w:r>
              <w:rPr>
                <w:rFonts w:hint="eastAsia" w:ascii="楷体" w:hAnsi="楷体" w:eastAsia="楷体" w:cs="楷体"/>
                <w:sz w:val="24"/>
              </w:rPr>
              <w:t xml:space="preserve">GB/T2662-2017“棉服装”技术要求。</w:t>
            </w:r>
            <w:r/>
          </w:p>
          <w:p>
            <w:pPr>
              <w:pStyle w:val="729"/>
              <w:rPr>
                <w:rFonts w:hint="eastAsia" w:ascii="楷体" w:hAnsi="楷体" w:eastAsia="楷体" w:cs="楷体"/>
                <w:sz w:val="24"/>
              </w:rPr>
            </w:pPr>
            <w:r>
              <w:rPr>
                <w:rFonts w:hint="eastAsia" w:ascii="楷体" w:hAnsi="楷体" w:eastAsia="楷体" w:cs="楷体"/>
                <w:sz w:val="24"/>
              </w:rPr>
              <w:t xml:space="preserve">3</w:t>
            </w:r>
            <w:r>
              <w:rPr>
                <w:rFonts w:ascii="楷体" w:hAnsi="楷体" w:eastAsia="楷体" w:cs="楷体"/>
                <w:sz w:val="24"/>
              </w:rPr>
              <w:t xml:space="preserve">、包装</w:t>
            </w:r>
            <w:r>
              <w:rPr>
                <w:rFonts w:hint="eastAsia" w:ascii="楷体" w:hAnsi="楷体" w:eastAsia="楷体" w:cs="楷体"/>
                <w:sz w:val="24"/>
              </w:rPr>
              <w:t xml:space="preserve">及标志</w:t>
            </w:r>
            <w:r>
              <w:rPr>
                <w:rFonts w:ascii="楷体" w:hAnsi="楷体" w:eastAsia="楷体" w:cs="楷体"/>
                <w:sz w:val="24"/>
              </w:rPr>
              <w:t xml:space="preserve">：每10件</w:t>
            </w:r>
            <w:r>
              <w:rPr>
                <w:rFonts w:hint="eastAsia" w:ascii="楷体" w:hAnsi="楷体" w:eastAsia="楷体" w:cs="楷体"/>
                <w:sz w:val="24"/>
              </w:rPr>
              <w:t xml:space="preserve">打包</w:t>
            </w:r>
            <w:r>
              <w:rPr>
                <w:rFonts w:ascii="楷体" w:hAnsi="楷体" w:eastAsia="楷体" w:cs="楷体"/>
                <w:sz w:val="24"/>
              </w:rPr>
              <w:t xml:space="preserve">，包装分内、外二种，内包装用聚乙烯塑料袋。外包装用</w:t>
            </w:r>
            <w:r>
              <w:rPr>
                <w:rFonts w:hint="eastAsia" w:ascii="楷体" w:hAnsi="楷体" w:eastAsia="楷体" w:cs="楷体"/>
                <w:sz w:val="24"/>
              </w:rPr>
              <w:t xml:space="preserve">外包由防水牛津布制作而成，外包装印有产品名称、尺寸、数量、质量、生产</w:t>
            </w:r>
            <w:r>
              <w:rPr>
                <w:rFonts w:hint="eastAsia" w:ascii="楷体" w:hAnsi="楷体" w:eastAsia="楷体" w:cs="楷体"/>
                <w:sz w:val="24"/>
              </w:rPr>
              <w:t xml:space="preserve">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100</w:t>
            </w:r>
            <w:r>
              <w:rPr>
                <w:rFonts w:hint="eastAsia" w:ascii="楷体" w:hAnsi="楷体" w:eastAsia="楷体" w:cs="楷体"/>
                <w:b/>
                <w:bCs/>
                <w:sz w:val="24"/>
              </w:rPr>
            </w:r>
            <w:r/>
          </w:p>
        </w:tc>
      </w:tr>
      <w:tr>
        <w:trPr>
          <w:trHeight w:val="4014"/>
        </w:trPr>
        <w:tc>
          <w:tcPr>
            <w:tcW w:w="456"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23</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棉大衣</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大号、中号和小号；军绿色</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1、重量：≥2.0kg；颜色：颜色为军绿色，领绒颜色为咖色；做工精细，针脚整齐。</w:t>
            </w:r>
            <w:r/>
          </w:p>
          <w:p>
            <w:pPr>
              <w:pStyle w:val="729"/>
              <w:rPr>
                <w:rFonts w:hint="eastAsia" w:ascii="楷体" w:hAnsi="楷体" w:eastAsia="楷体" w:cs="楷体"/>
                <w:sz w:val="24"/>
              </w:rPr>
            </w:pPr>
            <w:r>
              <w:rPr>
                <w:rFonts w:hint="eastAsia" w:ascii="楷体" w:hAnsi="楷体" w:eastAsia="楷体" w:cs="楷体"/>
                <w:sz w:val="24"/>
              </w:rPr>
              <w:t xml:space="preserve">▲2、面料：棉20%、聚酯纤维80%（涤纶），允差±5%；里料：100％棉；填充物：100％棉。</w:t>
            </w:r>
            <w:r/>
          </w:p>
          <w:p>
            <w:pPr>
              <w:pStyle w:val="729"/>
              <w:rPr>
                <w:rFonts w:hint="eastAsia" w:ascii="楷体" w:hAnsi="楷体" w:eastAsia="楷体" w:cs="楷体"/>
                <w:sz w:val="24"/>
              </w:rPr>
            </w:pPr>
            <w:r>
              <w:rPr>
                <w:rFonts w:hint="eastAsia" w:ascii="楷体" w:hAnsi="楷体" w:eastAsia="楷体" w:cs="楷体"/>
                <w:sz w:val="24"/>
              </w:rPr>
              <w:t xml:space="preserve">▲3、面料：经密≥425根/10cm，纬密≥228根/10cm，里料经密≥268根/10cm，纬密≥260根/10cm：面料线密度：经纱≥28tex，纬纱≥ 28tex；里料线密度：经纱≥18.2tex，纬纱≥18.2tex 。</w:t>
            </w:r>
            <w:r/>
          </w:p>
          <w:p>
            <w:pPr>
              <w:pStyle w:val="729"/>
              <w:rPr>
                <w:rFonts w:hint="eastAsia" w:ascii="楷体" w:hAnsi="楷体" w:eastAsia="楷体" w:cs="楷体"/>
                <w:sz w:val="24"/>
              </w:rPr>
            </w:pPr>
            <w:r>
              <w:rPr>
                <w:rFonts w:hint="eastAsia" w:ascii="楷体" w:hAnsi="楷体" w:eastAsia="楷体" w:cs="楷体"/>
                <w:sz w:val="24"/>
              </w:rPr>
              <w:t xml:space="preserve">▲4、填充物：喷胶棉絮片100%棉；单位面积质量：正身内胎250g/m²,衣袖内胎为150g/m²，偏差≥-5%。</w:t>
            </w:r>
            <w:r/>
          </w:p>
          <w:p>
            <w:pPr>
              <w:pStyle w:val="729"/>
              <w:rPr>
                <w:rFonts w:hint="eastAsia" w:ascii="楷体" w:hAnsi="楷体" w:eastAsia="楷体" w:cs="楷体"/>
                <w:sz w:val="24"/>
              </w:rPr>
            </w:pPr>
            <w:r>
              <w:rPr>
                <w:rFonts w:hint="eastAsia" w:ascii="楷体" w:hAnsi="楷体" w:eastAsia="楷体" w:cs="楷体"/>
                <w:sz w:val="24"/>
              </w:rPr>
              <w:t xml:space="preserve">5、包装及标志：单件装入聚乙烯塑料袋中；外包由防水牛津布制作而成，外包装印有产品名称、尺寸、数量、质量、生产年月、承制单位名称、监制单位名称和（xx应急）字样，字体大小适宜清晰。</w:t>
            </w:r>
            <w:r/>
          </w:p>
          <w:p>
            <w:pPr>
              <w:pStyle w:val="729"/>
              <w:rPr>
                <w:rFonts w:hint="eastAsia" w:ascii="楷体" w:hAnsi="楷体" w:eastAsia="楷体" w:cs="楷体"/>
                <w:sz w:val="24"/>
                <w:highlight w:val="yellow"/>
              </w:rPr>
            </w:pPr>
            <w:r>
              <w:rPr>
                <w:rFonts w:hint="eastAsia" w:ascii="楷体" w:hAnsi="楷体" w:eastAsia="楷体" w:cs="楷体"/>
                <w:b/>
                <w:bCs/>
                <w:color w:val="000000"/>
                <w:sz w:val="24"/>
              </w:rPr>
              <w:t xml:space="preserve">注：上述标注“▲”项参数须提供符合GB/T2662-2017“棉服装”技术要求的带CMA标识的检测报告。</w:t>
            </w:r>
            <w:r>
              <w:rPr>
                <w:rFonts w:hint="eastAsia" w:ascii="楷体" w:hAnsi="楷体" w:eastAsia="楷体" w:cs="楷体"/>
                <w:sz w:val="24"/>
                <w:highlight w:val="yellow"/>
              </w:rPr>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300</w:t>
            </w:r>
            <w:r>
              <w:rPr>
                <w:rFonts w:hint="eastAsia" w:ascii="楷体" w:hAnsi="楷体" w:eastAsia="楷体" w:cs="楷体"/>
                <w:b/>
                <w:bCs/>
                <w:sz w:val="24"/>
              </w:rPr>
            </w:r>
            <w:r/>
          </w:p>
        </w:tc>
      </w:tr>
      <w:tr>
        <w:trPr>
          <w:trHeight w:val="271"/>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24</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羽绒服</w:t>
            </w:r>
            <w:r/>
          </w:p>
        </w:tc>
        <w:tc>
          <w:tcPr>
            <w:tcW w:w="1734" w:type="dxa"/>
            <w:vAlign w:val="center"/>
            <w:textDirection w:val="lrTb"/>
            <w:noWrap w:val="false"/>
          </w:tcPr>
          <w:p>
            <w:pPr>
              <w:pStyle w:val="988"/>
              <w:numPr>
                <w:ilvl w:val="0"/>
                <w:numId w:val="13"/>
              </w:numPr>
              <w:ind w:left="0" w:firstLine="0"/>
              <w:spacing w:line="240" w:lineRule="auto"/>
              <w:rPr>
                <w:rFonts w:hint="eastAsia" w:ascii="楷体" w:hAnsi="楷体" w:eastAsia="楷体" w:cs="楷体"/>
              </w:rPr>
            </w:pPr>
            <w:r>
              <w:rPr>
                <w:rFonts w:hint="eastAsia" w:ascii="楷体" w:hAnsi="楷体" w:eastAsia="楷体" w:cs="楷体"/>
              </w:rPr>
              <w:t xml:space="preserve">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729"/>
              <w:numPr>
                <w:ilvl w:val="0"/>
                <w:numId w:val="14"/>
              </w:numPr>
              <w:ind w:left="360" w:hanging="360"/>
              <w:rPr>
                <w:rFonts w:hint="eastAsia" w:ascii="楷体" w:hAnsi="楷体" w:eastAsia="楷体" w:cs="楷体"/>
                <w:sz w:val="24"/>
              </w:rPr>
            </w:pPr>
            <w:r>
              <w:rPr>
                <w:rFonts w:hint="eastAsia" w:ascii="楷体" w:hAnsi="楷体" w:eastAsia="楷体" w:cs="楷体"/>
                <w:sz w:val="24"/>
              </w:rPr>
              <w:t xml:space="preserve">面料：聚酯纤维100%；里料</w:t>
            </w:r>
            <w:r>
              <w:rPr>
                <w:rFonts w:hint="eastAsia" w:ascii="楷体" w:hAnsi="楷体" w:eastAsia="楷体" w:cs="楷体"/>
                <w:sz w:val="24"/>
              </w:rPr>
              <w:t xml:space="preserve">：聚酯纤维100%；充绒量≥70g;羽绒种类：鸭绒，绒子含量≥70%，杂质≤1.0%，蓬松度≥16cm，耗氧量≤5.6mg。</w:t>
            </w:r>
            <w:r/>
          </w:p>
          <w:p>
            <w:pPr>
              <w:pStyle w:val="729"/>
              <w:rPr>
                <w:rFonts w:hint="eastAsia" w:ascii="楷体" w:hAnsi="楷体" w:eastAsia="楷体" w:cs="楷体"/>
                <w:sz w:val="24"/>
              </w:rPr>
            </w:pPr>
            <w:r>
              <w:rPr>
                <w:rFonts w:hint="eastAsia" w:ascii="楷体" w:hAnsi="楷体" w:eastAsia="楷体" w:cs="楷体"/>
                <w:sz w:val="24"/>
              </w:rPr>
              <w:t xml:space="preserve">2、包装及标志：单件装入PVC塑料袋中；外包由防水牛津布制作而成，外包装印有产品名称、尺寸、数量、质量、生产年月、承制单位名称、监制单位名称和（xx应急）字样，字体大小适宜清晰。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100</w:t>
            </w:r>
            <w:r>
              <w:rPr>
                <w:rFonts w:hint="eastAsia" w:ascii="楷体" w:hAnsi="楷体" w:eastAsia="楷体" w:cs="楷体"/>
                <w:b/>
                <w:bCs/>
                <w:sz w:val="24"/>
              </w:rPr>
            </w:r>
            <w:r/>
          </w:p>
        </w:tc>
      </w:tr>
      <w:tr>
        <w:trPr>
          <w:trHeight w:val="1706"/>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冲锋衣</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M、L、XL、XXL、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1、外套/内胆：聚酯纤维；耐磨性能/次≥10000，面料正面无破损；起毛起球：国标二级；外套采用防水防风透气三合一面料。</w:t>
            </w:r>
            <w:r/>
          </w:p>
          <w:p>
            <w:pPr>
              <w:pStyle w:val="729"/>
              <w:rPr>
                <w:rFonts w:hint="eastAsia" w:ascii="楷体" w:hAnsi="楷体" w:eastAsia="楷体" w:cs="楷体"/>
                <w:sz w:val="24"/>
              </w:rPr>
            </w:pPr>
            <w:r>
              <w:rPr>
                <w:rFonts w:hint="eastAsia" w:ascii="楷体" w:hAnsi="楷体" w:eastAsia="楷体" w:cs="楷体"/>
                <w:sz w:val="24"/>
              </w:rPr>
              <w:t xml:space="preserve">2、符合GB/T32614-2016《户外运动服装冲锋衣》标准</w:t>
            </w:r>
            <w:r/>
          </w:p>
          <w:p>
            <w:pPr>
              <w:pStyle w:val="729"/>
              <w:rPr>
                <w:rFonts w:hint="eastAsia" w:ascii="楷体" w:hAnsi="楷体" w:eastAsia="楷体" w:cs="楷体"/>
                <w:sz w:val="24"/>
              </w:rPr>
            </w:pPr>
            <w:r>
              <w:rPr>
                <w:rFonts w:hint="eastAsia" w:ascii="楷体" w:hAnsi="楷体" w:eastAsia="楷体" w:cs="楷体"/>
                <w:sz w:val="24"/>
              </w:rPr>
              <w:t xml:space="preserve">3、包装及标志：单件装入聚乙烯塑料袋中；外包由防水牛津布制作而成，外包装印有产品名称、尺寸、数量、质量、生产年月、承制单位名称、监制单位名称和（xx应急）字样，字体大小适宜清晰。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100</w:t>
            </w:r>
            <w:r>
              <w:rPr>
                <w:rFonts w:hint="eastAsia" w:ascii="楷体" w:hAnsi="楷体" w:eastAsia="楷体" w:cs="楷体"/>
                <w:b/>
                <w:bCs/>
                <w:sz w:val="24"/>
              </w:rPr>
            </w:r>
            <w:r/>
          </w:p>
        </w:tc>
      </w:tr>
      <w:tr>
        <w:trPr>
          <w:trHeight w:val="1228"/>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26</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运动服</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M、L、XL、XXL、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1、面料颜色：藏青色；面料成分：100%聚酯纤维；克重270±10g/㎡上衣前门襟拉链连。</w:t>
            </w:r>
            <w:r/>
          </w:p>
          <w:p>
            <w:pPr>
              <w:pStyle w:val="729"/>
              <w:rPr>
                <w:rFonts w:hint="eastAsia" w:ascii="楷体" w:hAnsi="楷体" w:eastAsia="楷体" w:cs="楷体"/>
                <w:sz w:val="24"/>
              </w:rPr>
            </w:pPr>
            <w:r>
              <w:rPr>
                <w:rFonts w:hint="eastAsia" w:ascii="楷体" w:hAnsi="楷体" w:eastAsia="楷体" w:cs="楷体"/>
                <w:sz w:val="24"/>
              </w:rPr>
              <w:t xml:space="preserve">2、包装及标志：单件装入PVC塑料袋中；外包由防水牛津布制作而成，外包装印有产品名称、尺寸、数量、质量、生产年月、承制单位名称、监制单位</w:t>
            </w:r>
            <w:r>
              <w:rPr>
                <w:rFonts w:hint="eastAsia" w:ascii="楷体" w:hAnsi="楷体" w:eastAsia="楷体" w:cs="楷体"/>
                <w:sz w:val="24"/>
              </w:rPr>
              <w:t xml:space="preserve">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1691"/>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27</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绒衣</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M、L、XL、XXL、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1、材质：面料涤纶、里料丙纶混纺磨毛，裤脚口和手袖口宽松紧罗纹， 加绒加厚，无拉链，提供多种颜色。</w:t>
            </w:r>
            <w:r/>
          </w:p>
          <w:p>
            <w:pPr>
              <w:pStyle w:val="729"/>
              <w:rPr>
                <w:rFonts w:hint="eastAsia" w:ascii="楷体" w:hAnsi="楷体" w:eastAsia="楷体" w:cs="楷体"/>
                <w:sz w:val="24"/>
              </w:rPr>
            </w:pPr>
            <w:r>
              <w:rPr>
                <w:rFonts w:hint="eastAsia" w:ascii="楷体" w:hAnsi="楷体" w:eastAsia="楷体" w:cs="楷体"/>
                <w:sz w:val="24"/>
              </w:rPr>
              <w:t xml:space="preserve">2、包装及标志：单件装入聚乙烯塑料袋中；外包由防水牛津布制作而成，外包装印有产品名称、尺寸、数量、质量、生产年月、承制单位名称、监制单位名称和（xx应急）字样，字体大小适宜清晰。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75</w:t>
            </w:r>
            <w:r>
              <w:rPr>
                <w:rFonts w:hint="eastAsia" w:ascii="楷体" w:hAnsi="楷体" w:eastAsia="楷体" w:cs="楷体"/>
                <w:b/>
                <w:bCs/>
                <w:sz w:val="24"/>
              </w:rPr>
            </w:r>
            <w:r/>
          </w:p>
        </w:tc>
      </w:tr>
      <w:tr>
        <w:trPr>
          <w:trHeight w:val="1405"/>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28</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毛衣</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M、L、XL、XXL、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1、面料：混纺： 羊毛30%，棉：70%；12针4支2股；中领，套头衫，无多余配饰，需提供大小尺码多种颜色。</w:t>
            </w:r>
            <w:r/>
          </w:p>
          <w:p>
            <w:pPr>
              <w:pStyle w:val="729"/>
              <w:rPr>
                <w:rFonts w:hint="eastAsia" w:ascii="楷体" w:hAnsi="楷体" w:eastAsia="楷体" w:cs="楷体"/>
                <w:sz w:val="24"/>
              </w:rPr>
            </w:pPr>
            <w:r>
              <w:rPr>
                <w:rFonts w:hint="eastAsia" w:ascii="楷体" w:hAnsi="楷体" w:eastAsia="楷体" w:cs="楷体"/>
                <w:sz w:val="24"/>
              </w:rPr>
              <w:t xml:space="preserve">2、包装及标志：单件装入聚乙烯塑料袋中；外包由防水牛津布制作而成，外包装印有产品名称、尺寸、数量、质量、生产年月、承制单位名称、监制单位名称和（xx应急）字样，字体大小适宜清晰。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75</w:t>
            </w:r>
            <w:r>
              <w:rPr>
                <w:rFonts w:hint="eastAsia" w:ascii="楷体" w:hAnsi="楷体" w:eastAsia="楷体" w:cs="楷体"/>
                <w:b/>
                <w:bCs/>
                <w:sz w:val="24"/>
              </w:rPr>
            </w:r>
            <w:r/>
          </w:p>
        </w:tc>
      </w:tr>
      <w:tr>
        <w:trPr>
          <w:trHeight w:val="1406"/>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29</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单衣裤</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M、L、XL、XXL、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989"/>
              <w:ind w:firstLine="0"/>
              <w:rPr>
                <w:rFonts w:hint="eastAsia" w:ascii="楷体" w:hAnsi="楷体" w:eastAsia="楷体" w:cs="楷体"/>
                <w:sz w:val="24"/>
              </w:rPr>
            </w:pPr>
            <w:r>
              <w:rPr>
                <w:rFonts w:hint="eastAsia" w:ascii="楷体" w:hAnsi="楷体" w:eastAsia="楷体" w:cs="楷体"/>
                <w:sz w:val="24"/>
              </w:rPr>
              <w:t xml:space="preserve">1、面料：75.9%棉24.1%复合聚酯纤维，支纱;40s/1棉，210g/㎡，活性印染。</w:t>
            </w:r>
            <w:r/>
          </w:p>
          <w:p>
            <w:pPr>
              <w:pStyle w:val="989"/>
              <w:ind w:firstLine="0"/>
              <w:rPr>
                <w:rFonts w:hint="eastAsia" w:ascii="楷体" w:hAnsi="楷体" w:eastAsia="楷体" w:cs="楷体"/>
                <w:sz w:val="24"/>
              </w:rPr>
            </w:pPr>
            <w:r>
              <w:rPr>
                <w:rFonts w:hint="eastAsia" w:ascii="楷体" w:hAnsi="楷体" w:eastAsia="楷体" w:cs="楷体"/>
                <w:sz w:val="24"/>
              </w:rPr>
              <w:t xml:space="preserve">2、包装及标志：单件装入聚乙烯塑料袋中；外包由防水牛津布制作而成，外包装印有产品名称、尺寸、数量、质量、生产年月、承制单位名称、监制单位名称</w:t>
            </w:r>
            <w:r>
              <w:rPr>
                <w:rFonts w:hint="eastAsia" w:ascii="楷体" w:hAnsi="楷体" w:eastAsia="楷体" w:cs="楷体"/>
                <w:sz w:val="24"/>
              </w:rPr>
              <w:t xml:space="preserve">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150</w:t>
            </w:r>
            <w:r>
              <w:rPr>
                <w:rFonts w:hint="eastAsia" w:ascii="楷体" w:hAnsi="楷体" w:eastAsia="楷体" w:cs="楷体"/>
                <w:b/>
                <w:bCs/>
                <w:sz w:val="24"/>
              </w:rPr>
            </w:r>
            <w:r/>
          </w:p>
        </w:tc>
      </w:tr>
      <w:tr>
        <w:trPr>
          <w:trHeight w:val="987"/>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30</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短衣裤</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M、L、XL、XXL、</w:t>
            </w:r>
            <w:r/>
          </w:p>
          <w:p>
            <w:pPr>
              <w:pStyle w:val="988"/>
              <w:ind w:left="0" w:firstLine="0"/>
              <w:spacing w:line="240" w:lineRule="auto"/>
              <w:rPr>
                <w:rFonts w:hint="eastAsia" w:ascii="楷体" w:hAnsi="楷体" w:eastAsia="楷体" w:cs="楷体"/>
              </w:rPr>
            </w:pPr>
            <w:r>
              <w:rPr>
                <w:rFonts w:hint="eastAsia" w:ascii="楷体" w:hAnsi="楷体" w:eastAsia="楷体" w:cs="楷体"/>
              </w:rPr>
              <w:t xml:space="preserve">XXXL</w:t>
            </w:r>
            <w:r/>
          </w:p>
        </w:tc>
        <w:tc>
          <w:tcPr>
            <w:tcW w:w="9658" w:type="dxa"/>
            <w:vAlign w:val="center"/>
            <w:textDirection w:val="lrTb"/>
            <w:noWrap w:val="false"/>
          </w:tcPr>
          <w:p>
            <w:pPr>
              <w:pStyle w:val="729"/>
              <w:numPr>
                <w:ilvl w:val="0"/>
                <w:numId w:val="15"/>
              </w:numPr>
              <w:ind w:left="680" w:hanging="680"/>
              <w:rPr>
                <w:rFonts w:hint="eastAsia" w:ascii="楷体" w:hAnsi="楷体" w:eastAsia="楷体" w:cs="楷体"/>
                <w:sz w:val="24"/>
              </w:rPr>
            </w:pPr>
            <w:r>
              <w:rPr>
                <w:rFonts w:hint="eastAsia" w:ascii="楷体" w:hAnsi="楷体" w:eastAsia="楷体" w:cs="楷体"/>
                <w:sz w:val="24"/>
              </w:rPr>
              <w:t xml:space="preserve">面料：上衣、短裤面料成分≥20%棉、≤80%聚酯纤维，克重168±10g/㎡。 </w:t>
            </w:r>
            <w:r/>
          </w:p>
          <w:p>
            <w:pPr>
              <w:pStyle w:val="729"/>
              <w:numPr>
                <w:ilvl w:val="0"/>
                <w:numId w:val="15"/>
              </w:numPr>
              <w:ind w:left="680" w:hanging="680"/>
              <w:rPr>
                <w:rFonts w:hint="eastAsia" w:ascii="楷体" w:hAnsi="楷体" w:eastAsia="楷体" w:cs="楷体"/>
                <w:sz w:val="24"/>
              </w:rPr>
            </w:pPr>
            <w:r>
              <w:rPr>
                <w:rFonts w:hint="eastAsia" w:ascii="楷体" w:hAnsi="楷体" w:eastAsia="楷体" w:cs="楷体"/>
                <w:sz w:val="24"/>
              </w:rPr>
              <w:t xml:space="preserve">包装及标志：单件装入聚乙烯塑料袋中；外包由防水牛津布制作而成，外包装印</w:t>
            </w:r>
            <w:r/>
          </w:p>
          <w:p>
            <w:pPr>
              <w:pStyle w:val="729"/>
              <w:rPr>
                <w:rFonts w:hint="eastAsia" w:ascii="楷体" w:hAnsi="楷体" w:eastAsia="楷体" w:cs="楷体"/>
                <w:sz w:val="24"/>
              </w:rPr>
            </w:pPr>
            <w:r>
              <w:rPr>
                <w:rFonts w:hint="eastAsia" w:ascii="楷体" w:hAnsi="楷体" w:eastAsia="楷体" w:cs="楷体"/>
                <w:sz w:val="24"/>
              </w:rPr>
              <w:t xml:space="preserve">有产品名称、尺寸、数量、质量、生产年月、承制单位名称、监制单位名称和（xx应急）字样，字体大小适宜清晰。</w:t>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套</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300</w:t>
            </w:r>
            <w:r>
              <w:rPr>
                <w:rFonts w:hint="eastAsia" w:ascii="楷体" w:hAnsi="楷体" w:eastAsia="楷体" w:cs="楷体"/>
                <w:b/>
                <w:bCs/>
                <w:sz w:val="24"/>
              </w:rPr>
            </w:r>
            <w:r/>
          </w:p>
        </w:tc>
      </w:tr>
      <w:tr>
        <w:trPr>
          <w:trHeight w:val="413"/>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31</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t xml:space="preserve">救生衣</w:t>
            </w:r>
            <w:r/>
          </w:p>
        </w:tc>
        <w:tc>
          <w:tcPr>
            <w:tcW w:w="1734" w:type="dxa"/>
            <w:vAlign w:val="center"/>
            <w:textDirection w:val="lrTb"/>
            <w:noWrap w:val="false"/>
          </w:tcPr>
          <w:p>
            <w:pPr>
              <w:pStyle w:val="988"/>
              <w:ind w:left="0" w:firstLine="0"/>
              <w:spacing w:line="240" w:lineRule="auto"/>
              <w:rPr>
                <w:rFonts w:hint="eastAsia" w:ascii="楷体" w:hAnsi="楷体" w:eastAsia="楷体" w:cs="楷体"/>
              </w:rPr>
            </w:pPr>
            <w:r>
              <w:rPr>
                <w:rFonts w:hint="eastAsia" w:ascii="楷体" w:hAnsi="楷体" w:eastAsia="楷体" w:cs="楷体"/>
              </w:r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1、尺寸(mm)：≥480×220×460；材质：外层面料400D防水牛津；颜色：橘红色；反光材料：面积≥200cm</w:t>
            </w:r>
            <w:r>
              <w:rPr>
                <w:rFonts w:ascii="Calibri" w:hAnsi="Calibri" w:eastAsia="楷体" w:cs="Calibri"/>
                <w:sz w:val="24"/>
              </w:rPr>
              <w:t xml:space="preserve">²</w:t>
            </w:r>
            <w:r>
              <w:rPr>
                <w:rFonts w:hint="eastAsia" w:ascii="Calibri" w:hAnsi="Calibri" w:eastAsia="楷体" w:cs="Calibri"/>
                <w:sz w:val="24"/>
              </w:rPr>
              <w:t xml:space="preserve">，浮材：聚乙烯泡沫塑料。</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2、款式：插口式，非拉链式。两条可调节松紧扣带，按需调节活扣腰带长度，每件救生衣配有哨笛。</w:t>
            </w:r>
            <w:r/>
          </w:p>
          <w:p>
            <w:pPr>
              <w:pStyle w:val="729"/>
              <w:rPr>
                <w:rFonts w:hint="eastAsia" w:ascii="楷体" w:hAnsi="楷体" w:eastAsia="楷体" w:cs="楷体"/>
                <w:sz w:val="24"/>
              </w:rPr>
            </w:pPr>
            <w:r>
              <w:rPr>
                <w:rFonts w:hint="eastAsia" w:ascii="楷体" w:hAnsi="楷体" w:eastAsia="楷体" w:cs="楷体"/>
                <w:sz w:val="24"/>
              </w:rPr>
              <w:t xml:space="preserve">▲3、浮力：75≥N。浮力损失：（在淡水中浸泡24小时后浮力损失应不小于74N）。肩部抗拉强度：≥784N/50mm；衣身抗拉强度：将救生衣浸入水中历时2min,然后从水中取出，按由人穿着的同样方式扣好，对救生衣在穿着者的身上扎紧的部分或救生衣的拉环上施加大于或等于1764N的作用力达30min,无损坏。浮态：穿着救生衣在水中应保持人体垂直或后倾，头部高于水面。</w:t>
            </w:r>
            <w:r/>
          </w:p>
          <w:p>
            <w:pPr>
              <w:pStyle w:val="729"/>
              <w:rPr>
                <w:rFonts w:hint="eastAsia" w:ascii="楷体" w:hAnsi="楷体" w:eastAsia="楷体" w:cs="楷体"/>
                <w:sz w:val="24"/>
              </w:rPr>
            </w:pPr>
            <w:r>
              <w:rPr>
                <w:rFonts w:hint="eastAsia" w:ascii="楷体" w:hAnsi="楷体" w:eastAsia="楷体" w:cs="楷体"/>
                <w:sz w:val="24"/>
              </w:rPr>
              <w:t xml:space="preserve">4.包装及标志：每件救生衣印有</w:t>
            </w:r>
            <w:r>
              <w:rPr>
                <w:rFonts w:hint="eastAsia" w:ascii="楷体" w:hAnsi="楷体" w:eastAsia="楷体" w:cs="楷体"/>
                <w:sz w:val="24"/>
              </w:rPr>
              <w:t xml:space="preserve">xxx应急字样，外包装印有产品名称、尺寸、数量、重量、生产日期、承制单位和监制单位</w:t>
            </w:r>
            <w:r/>
          </w:p>
          <w:p>
            <w:pPr>
              <w:pStyle w:val="729"/>
              <w:rPr>
                <w:rFonts w:hint="eastAsia" w:ascii="楷体" w:hAnsi="楷体" w:eastAsia="楷体" w:cs="楷体"/>
                <w:sz w:val="24"/>
              </w:rPr>
            </w:pPr>
            <w:r>
              <w:rPr>
                <w:rFonts w:hint="eastAsia" w:ascii="楷体" w:hAnsi="楷体" w:eastAsia="楷体" w:cs="楷体"/>
                <w:b/>
                <w:bCs/>
                <w:sz w:val="24"/>
              </w:rPr>
              <w:t xml:space="preserve">注：上述标注▲需提供符合GB/T32227-2015船用工作救生衣标准要求的带CMA标识的检测报告</w:t>
            </w:r>
            <w:r>
              <w:rPr>
                <w:rFonts w:hint="eastAsia" w:ascii="楷体" w:hAnsi="楷体" w:eastAsia="楷体" w:cs="楷体"/>
                <w:sz w:val="24"/>
              </w:rPr>
            </w:r>
            <w:r/>
          </w:p>
        </w:tc>
        <w:tc>
          <w:tcPr>
            <w:tcW w:w="70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件</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200</w:t>
            </w:r>
            <w:r>
              <w:rPr>
                <w:rFonts w:hint="eastAsia" w:ascii="楷体" w:hAnsi="楷体" w:eastAsia="楷体" w:cs="楷体"/>
                <w:b/>
                <w:bCs/>
                <w:sz w:val="24"/>
              </w:rPr>
            </w:r>
            <w:r/>
          </w:p>
        </w:tc>
      </w:tr>
      <w:tr>
        <w:trPr>
          <w:trHeight w:val="643"/>
        </w:trPr>
        <w:tc>
          <w:tcPr>
            <w:gridSpan w:val="6"/>
            <w:tcBorders>
              <w:top w:val="single" w:color="000000" w:sz="4" w:space="0"/>
              <w:left w:val="single" w:color="000000" w:sz="4" w:space="0"/>
              <w:bottom w:val="single" w:color="000000" w:sz="4" w:space="0"/>
            </w:tcBorders>
            <w:tcW w:w="13961"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b/>
                <w:bCs/>
                <w:sz w:val="30"/>
                <w:szCs w:val="30"/>
              </w:rPr>
              <w:t xml:space="preserve">四、卫生保障</w:t>
            </w:r>
            <w:r>
              <w:rPr>
                <w:rFonts w:hint="eastAsia" w:ascii="楷体" w:hAnsi="楷体" w:eastAsia="楷体" w:cs="楷体"/>
                <w:b/>
                <w:bCs/>
                <w:sz w:val="24"/>
              </w:rPr>
            </w:r>
            <w:r/>
          </w:p>
        </w:tc>
      </w:tr>
      <w:tr>
        <w:trPr>
          <w:trHeight w:val="995"/>
        </w:trPr>
        <w:tc>
          <w:tcPr>
            <w:tcW w:w="456"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32</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简易厕所</w:t>
            </w:r>
            <w:r/>
          </w:p>
        </w:tc>
        <w:tc>
          <w:tcPr>
            <w:tcW w:w="1734" w:type="dxa"/>
            <w:vAlign w:val="center"/>
            <w:textDirection w:val="lrTb"/>
            <w:noWrap w:val="false"/>
          </w:tcPr>
          <w:p>
            <w:pPr>
              <w:pStyle w:val="988"/>
              <w:ind w:left="0" w:firstLine="0"/>
              <w:jc w:val="center"/>
              <w:spacing w:line="240" w:lineRule="auto"/>
              <w:rPr>
                <w:rFonts w:hint="eastAsia" w:ascii="楷体" w:hAnsi="楷体" w:eastAsia="楷体" w:cs="楷体"/>
              </w:rPr>
            </w:pPr>
            <w:r>
              <w:rPr>
                <w:rFonts w:hint="eastAsia" w:ascii="楷体" w:hAnsi="楷体" w:eastAsia="楷体" w:cs="楷体"/>
              </w:rPr>
              <w:t xml:space="preserve">1150*1150*2350mm（±</w:t>
            </w:r>
            <w:r>
              <w:rPr>
                <w:rFonts w:ascii="楷体" w:hAnsi="楷体" w:eastAsia="楷体" w:cs="楷体"/>
              </w:rPr>
              <w:t xml:space="preserve">5mm</w:t>
            </w:r>
            <w:r>
              <w:rPr>
                <w:rFonts w:hint="eastAsia" w:ascii="楷体" w:hAnsi="楷体" w:eastAsia="楷体" w:cs="楷体"/>
              </w:rPr>
              <w:t xml:space="preserve">）</w:t>
            </w:r>
            <w:r>
              <w:rPr>
                <w:rFonts w:hint="eastAsia" w:ascii="楷体" w:hAnsi="楷体" w:eastAsia="楷体" w:cs="楷体"/>
              </w:rPr>
            </w:r>
            <w:r/>
          </w:p>
        </w:tc>
        <w:tc>
          <w:tcPr>
            <w:tcW w:w="9658" w:type="dxa"/>
            <w:vAlign w:val="center"/>
            <w:textDirection w:val="lrTb"/>
            <w:noWrap w:val="false"/>
          </w:tcPr>
          <w:p>
            <w:pPr>
              <w:pStyle w:val="729"/>
              <w:rPr>
                <w:rFonts w:hint="eastAsia" w:ascii="楷体" w:hAnsi="楷体" w:eastAsia="楷体" w:cs="楷体"/>
                <w:sz w:val="24"/>
              </w:rPr>
            </w:pPr>
            <w:r>
              <w:rPr>
                <w:rFonts w:hint="eastAsia" w:ascii="楷体" w:hAnsi="楷体" w:eastAsia="楷体" w:cs="楷体"/>
                <w:sz w:val="24"/>
              </w:rPr>
              <w:t xml:space="preserve">1、清水箱容积≥：143L；污水箱容积：≥404L</w:t>
            </w:r>
            <w:r/>
          </w:p>
          <w:p>
            <w:pPr>
              <w:pStyle w:val="729"/>
              <w:rPr>
                <w:rFonts w:hint="eastAsia" w:ascii="楷体" w:hAnsi="楷体" w:eastAsia="楷体" w:cs="楷体"/>
                <w:sz w:val="24"/>
              </w:rPr>
            </w:pPr>
            <w:r>
              <w:rPr>
                <w:rFonts w:hint="eastAsia" w:ascii="楷体" w:hAnsi="楷体" w:eastAsia="楷体" w:cs="楷体"/>
                <w:sz w:val="24"/>
              </w:rPr>
              <w:t xml:space="preserve">2、内部配置：增压冲水系统、镜子、洗手台、衣帽钩、纸巾架、使用状态标识、门栓、废水箱、排气管、吊车挂钩、冲洗泵、管理锁、荧光灯。</w:t>
            </w:r>
            <w:r/>
          </w:p>
          <w:p>
            <w:pPr>
              <w:pStyle w:val="729"/>
              <w:rPr>
                <w:rFonts w:hint="eastAsia" w:ascii="楷体" w:hAnsi="楷体" w:eastAsia="楷体" w:cs="楷体"/>
                <w:sz w:val="24"/>
              </w:rPr>
            </w:pPr>
            <w:r>
              <w:rPr>
                <w:rFonts w:hint="eastAsia" w:ascii="楷体" w:hAnsi="楷体" w:eastAsia="楷体" w:cs="楷体"/>
                <w:sz w:val="24"/>
              </w:rPr>
              <w:t xml:space="preserve">3、厕所主体部件采用高密度聚乙烯，防水、防潮、防菌、抗暴力冲击、抗冻，适用于全天候地域环境，可满足300-400人次使用。</w:t>
            </w:r>
            <w:r/>
          </w:p>
          <w:p>
            <w:pPr>
              <w:pStyle w:val="729"/>
              <w:rPr>
                <w:rFonts w:hint="eastAsia" w:ascii="楷体" w:hAnsi="楷体" w:eastAsia="楷体" w:cs="楷体"/>
                <w:sz w:val="24"/>
              </w:rPr>
            </w:pPr>
            <w:r>
              <w:rPr>
                <w:rFonts w:hint="eastAsia" w:ascii="楷体" w:hAnsi="楷体" w:eastAsia="楷体" w:cs="楷体"/>
                <w:sz w:val="24"/>
              </w:rPr>
              <w:t xml:space="preserve">厕所组成部分：</w:t>
            </w:r>
            <w:r/>
          </w:p>
          <w:p>
            <w:pPr>
              <w:pStyle w:val="729"/>
              <w:rPr>
                <w:rFonts w:hint="eastAsia" w:ascii="楷体" w:hAnsi="楷体" w:eastAsia="楷体" w:cs="楷体"/>
                <w:sz w:val="24"/>
              </w:rPr>
            </w:pPr>
            <w:r>
              <w:rPr>
                <w:rFonts w:hint="eastAsia" w:ascii="楷体" w:hAnsi="楷体" w:eastAsia="楷体" w:cs="楷体"/>
                <w:sz w:val="24"/>
              </w:rPr>
              <w:t xml:space="preserve">4、门板：双层中空结构、壁厚≥2mm；尺寸：W691*L1979mm(±5mm)；全新高密度聚乙烯塑料一体成型，设有镜子、挂钩、塑料拉手、塑料门栓，门板各个角光润圆滑、无尖角、硬棱角；不存在割手或划手危险。正面设有圆形“有人”“无人”观察孔、椭圆形“男女”标识牌，底部设有不少于2个长度≥395mm的条形通风槽。</w:t>
            </w:r>
            <w:r/>
          </w:p>
          <w:p>
            <w:pPr>
              <w:pStyle w:val="729"/>
              <w:rPr>
                <w:rFonts w:hint="eastAsia" w:ascii="楷体" w:hAnsi="楷体" w:eastAsia="楷体" w:cs="楷体"/>
                <w:sz w:val="24"/>
              </w:rPr>
            </w:pPr>
            <w:r>
              <w:rPr>
                <w:rFonts w:hint="eastAsia" w:ascii="楷体" w:hAnsi="楷体" w:eastAsia="楷体" w:cs="楷体"/>
                <w:sz w:val="24"/>
              </w:rPr>
              <w:t xml:space="preserve">门副板：门副板采用全新高密度聚乙烯塑料一体成型，双层中空结构、壁厚≥2mm，尺寸：W219*L1980*H30m</w:t>
            </w:r>
            <w:r>
              <w:rPr>
                <w:rFonts w:hint="eastAsia" w:ascii="楷体" w:hAnsi="楷体" w:eastAsia="楷体" w:cs="楷体"/>
                <w:sz w:val="24"/>
              </w:rPr>
              <w:t xml:space="preserve">m（±2mm）；门副板宽度≥190mm。单层墙板：单层墙板高度1977mm±5mm，与底板采用螺栓连接方式，墙板之间采用PVC挤出件穿插连接方式，可重复拆卸组装，墙板上端布有孔状透气口。</w:t>
            </w:r>
            <w:r/>
          </w:p>
          <w:p>
            <w:pPr>
              <w:pStyle w:val="729"/>
              <w:rPr>
                <w:rFonts w:hint="eastAsia" w:ascii="楷体" w:hAnsi="楷体" w:eastAsia="楷体" w:cs="楷体"/>
                <w:sz w:val="24"/>
              </w:rPr>
            </w:pPr>
            <w:r>
              <w:rPr>
                <w:rFonts w:hint="eastAsia" w:ascii="楷体" w:hAnsi="楷体" w:eastAsia="楷体" w:cs="楷体"/>
                <w:sz w:val="24"/>
              </w:rPr>
              <w:t xml:space="preserve">5、</w:t>
            </w:r>
            <w:r>
              <w:rPr>
                <w:rFonts w:ascii="楷体" w:hAnsi="楷体" w:eastAsia="楷体" w:cs="楷体"/>
                <w:sz w:val="24"/>
              </w:rPr>
              <w:t xml:space="preserve">顶盖：双层中空结构、全新高密度聚乙烯</w:t>
            </w:r>
            <w:r>
              <w:rPr>
                <w:rFonts w:hint="eastAsia" w:ascii="楷体" w:hAnsi="楷体" w:eastAsia="楷体" w:cs="楷体"/>
                <w:sz w:val="24"/>
              </w:rPr>
              <w:t xml:space="preserve">塑料</w:t>
            </w:r>
            <w:r>
              <w:rPr>
                <w:rFonts w:ascii="楷体" w:hAnsi="楷体" w:eastAsia="楷体" w:cs="楷体"/>
                <w:sz w:val="24"/>
              </w:rPr>
              <w:t xml:space="preserve">一体成型，顶盖最大厚度123mm±5mm，与墙板和底座采用吊环插杆对锁连接方式，吊环可用于吊车装卸用</w:t>
            </w:r>
            <w:r>
              <w:rPr>
                <w:rFonts w:hint="eastAsia" w:ascii="楷体" w:hAnsi="楷体" w:eastAsia="楷体" w:cs="楷体"/>
                <w:sz w:val="24"/>
              </w:rPr>
              <w:t xml:space="preserve">。</w:t>
            </w:r>
            <w:r/>
          </w:p>
          <w:p>
            <w:pPr>
              <w:pStyle w:val="729"/>
              <w:rPr>
                <w:rFonts w:hint="eastAsia" w:ascii="楷体" w:hAnsi="楷体" w:eastAsia="楷体" w:cs="楷体"/>
                <w:sz w:val="24"/>
              </w:rPr>
            </w:pPr>
            <w:r>
              <w:rPr>
                <w:rFonts w:hint="eastAsia" w:ascii="楷体" w:hAnsi="楷体" w:eastAsia="楷体" w:cs="楷体"/>
                <w:sz w:val="24"/>
              </w:rPr>
              <w:t xml:space="preserve">6、</w:t>
            </w:r>
            <w:r>
              <w:rPr>
                <w:rFonts w:ascii="楷体" w:hAnsi="楷体" w:eastAsia="楷体" w:cs="楷体"/>
                <w:sz w:val="24"/>
              </w:rPr>
              <w:t xml:space="preserve">底座：采用全新高密度聚乙烯</w:t>
            </w:r>
            <w:r>
              <w:rPr>
                <w:rFonts w:hint="eastAsia" w:ascii="楷体" w:hAnsi="楷体" w:eastAsia="楷体" w:cs="楷体"/>
                <w:sz w:val="24"/>
              </w:rPr>
              <w:t xml:space="preserve">塑料</w:t>
            </w:r>
            <w:r>
              <w:rPr>
                <w:rFonts w:ascii="楷体" w:hAnsi="楷体" w:eastAsia="楷体" w:cs="楷体"/>
                <w:sz w:val="24"/>
              </w:rPr>
              <w:t xml:space="preserve">，带有预埋铜螺母，与墙板和门副板采用螺栓连接；底座带有一个脚踏台阶，底座配有脚踩大水泵，用于冲厕，站立内部面积0.4平米 ，底座粪箱容积404L</w:t>
            </w:r>
            <w:r>
              <w:rPr>
                <w:rFonts w:hint="eastAsia" w:ascii="楷体" w:hAnsi="楷体" w:eastAsia="楷体" w:cs="楷体"/>
                <w:sz w:val="24"/>
              </w:rPr>
              <w:t xml:space="preserve">。排泄阀：排泄阀开关装于厕所内部。</w:t>
            </w:r>
            <w:r/>
          </w:p>
          <w:p>
            <w:pPr>
              <w:pStyle w:val="729"/>
              <w:rPr>
                <w:rFonts w:hint="eastAsia" w:ascii="楷体" w:hAnsi="楷体" w:eastAsia="楷体" w:cs="楷体"/>
                <w:sz w:val="24"/>
              </w:rPr>
            </w:pPr>
            <w:r>
              <w:rPr>
                <w:rFonts w:hint="eastAsia" w:ascii="楷体" w:hAnsi="楷体" w:eastAsia="楷体" w:cs="楷体"/>
                <w:sz w:val="24"/>
              </w:rPr>
              <w:t xml:space="preserve">7、</w:t>
            </w:r>
            <w:r>
              <w:rPr>
                <w:rFonts w:ascii="楷体" w:hAnsi="楷体" w:eastAsia="楷体" w:cs="楷体"/>
                <w:sz w:val="24"/>
              </w:rPr>
              <w:t xml:space="preserve">水箱：洗手池采用全新高密度聚乙烯</w:t>
            </w:r>
            <w:r>
              <w:rPr>
                <w:rFonts w:hint="eastAsia" w:ascii="楷体" w:hAnsi="楷体" w:eastAsia="楷体" w:cs="楷体"/>
                <w:sz w:val="24"/>
              </w:rPr>
              <w:t xml:space="preserve">塑料</w:t>
            </w:r>
            <w:r>
              <w:rPr>
                <w:rFonts w:ascii="楷体" w:hAnsi="楷体" w:eastAsia="楷体" w:cs="楷体"/>
                <w:sz w:val="24"/>
              </w:rPr>
              <w:t xml:space="preserve">一体成型，水箱壁厚≥8mm，水箱容积：≥143L，颜色与底座一致均为灰色，无其他杂色，顶部设有一体式水龙头，底部设有脚踩水泵，以供水龙头出水使用，水箱盖带有防盗链条。</w:t>
            </w:r>
            <w:r>
              <w:rPr>
                <w:rFonts w:hint="eastAsia" w:ascii="楷体" w:hAnsi="楷体" w:eastAsia="楷体" w:cs="楷体"/>
                <w:sz w:val="24"/>
              </w:rPr>
            </w:r>
            <w:r/>
          </w:p>
          <w:p>
            <w:pPr>
              <w:pStyle w:val="729"/>
              <w:rPr>
                <w:rFonts w:hint="eastAsia" w:ascii="楷体" w:hAnsi="楷体" w:eastAsia="楷体" w:cs="楷体"/>
                <w:sz w:val="24"/>
              </w:rPr>
            </w:pPr>
            <w:r>
              <w:rPr>
                <w:rFonts w:ascii="楷体" w:hAnsi="楷体" w:eastAsia="楷体" w:cs="楷体"/>
                <w:sz w:val="24"/>
              </w:rPr>
              <w:t xml:space="preserve">墙板连接件：墙板连接件采用PVC挤出工艺成型，与墙板左、右门副板采用穿插方式连接，稳定又牢固</w:t>
            </w:r>
            <w:r>
              <w:rPr>
                <w:rFonts w:hint="eastAsia" w:ascii="楷体" w:hAnsi="楷体" w:eastAsia="楷体" w:cs="楷体"/>
                <w:sz w:val="24"/>
              </w:rPr>
              <w:t xml:space="preserve">。</w:t>
            </w:r>
            <w:r/>
          </w:p>
          <w:p>
            <w:pPr>
              <w:pStyle w:val="729"/>
              <w:rPr>
                <w:rFonts w:hint="eastAsia" w:ascii="楷体" w:hAnsi="楷体" w:eastAsia="楷体" w:cs="楷体"/>
                <w:sz w:val="24"/>
              </w:rPr>
            </w:pPr>
            <w:r>
              <w:rPr>
                <w:rFonts w:hint="eastAsia" w:ascii="楷体" w:hAnsi="楷体" w:eastAsia="楷体" w:cs="楷体"/>
                <w:sz w:val="24"/>
              </w:rPr>
              <w:t xml:space="preserve">8、</w:t>
            </w:r>
            <w:r>
              <w:rPr>
                <w:rFonts w:ascii="楷体" w:hAnsi="楷体" w:eastAsia="楷体" w:cs="楷体"/>
                <w:sz w:val="24"/>
              </w:rPr>
              <w:t xml:space="preserve">通风管：采用PVC挤出工艺成型，与顶盖和底座通过结构凹槽限位固定</w:t>
            </w:r>
            <w:r>
              <w:rPr>
                <w:rFonts w:hint="eastAsia" w:ascii="楷体" w:hAnsi="楷体" w:eastAsia="楷体" w:cs="楷体"/>
                <w:sz w:val="24"/>
              </w:rPr>
              <w:t xml:space="preserve">。</w:t>
            </w:r>
            <w:r/>
          </w:p>
          <w:p>
            <w:pPr>
              <w:pStyle w:val="729"/>
              <w:rPr>
                <w:rFonts w:hint="eastAsia" w:ascii="楷体" w:hAnsi="楷体" w:eastAsia="楷体" w:cs="楷体"/>
                <w:sz w:val="24"/>
              </w:rPr>
            </w:pPr>
            <w:r>
              <w:rPr>
                <w:rFonts w:hint="eastAsia" w:ascii="楷体" w:hAnsi="楷体" w:eastAsia="楷体" w:cs="楷体"/>
                <w:sz w:val="24"/>
              </w:rPr>
              <w:t xml:space="preserve">9、</w:t>
            </w:r>
            <w:r>
              <w:rPr>
                <w:rFonts w:ascii="楷体" w:hAnsi="楷体" w:eastAsia="楷体" w:cs="楷体"/>
                <w:sz w:val="24"/>
              </w:rPr>
              <w:t xml:space="preserve">马桶：马桶分上下两部分，均采用PP材料成型，设有2个出水口，马桶下面设有支撑杆，清洁时使用支撑</w:t>
            </w:r>
            <w:r>
              <w:rPr>
                <w:rFonts w:ascii="楷体" w:hAnsi="楷体" w:eastAsia="楷体" w:cs="楷体"/>
                <w:sz w:val="24"/>
              </w:rPr>
              <w:t xml:space="preserve">杆撑起马桶。</w:t>
            </w:r>
            <w:r>
              <w:rPr>
                <w:rFonts w:hint="eastAsia" w:ascii="楷体" w:hAnsi="楷体" w:eastAsia="楷体" w:cs="楷体"/>
                <w:sz w:val="24"/>
              </w:rPr>
            </w:r>
            <w:r/>
          </w:p>
          <w:p>
            <w:pPr>
              <w:pStyle w:val="729"/>
              <w:rPr>
                <w:rFonts w:hint="eastAsia" w:ascii="楷体" w:hAnsi="楷体" w:eastAsia="楷体" w:cs="楷体"/>
                <w:sz w:val="24"/>
              </w:rPr>
            </w:pPr>
            <w:r>
              <w:rPr>
                <w:rFonts w:hint="eastAsia" w:ascii="楷体" w:hAnsi="楷体" w:eastAsia="楷体" w:cs="楷体"/>
                <w:sz w:val="24"/>
              </w:rPr>
              <w:t xml:space="preserve">10、</w:t>
            </w:r>
            <w:r>
              <w:rPr>
                <w:rFonts w:ascii="楷体" w:hAnsi="楷体" w:eastAsia="楷体" w:cs="楷体"/>
                <w:sz w:val="24"/>
              </w:rPr>
              <w:t xml:space="preserve">拉杆：厕所设有4跟直径≥10mm实心不锈钢拉杆连接屋顶、底座，使整体更加牢固，强度高，顶部带有吊环</w:t>
            </w:r>
            <w:r>
              <w:rPr>
                <w:rFonts w:hint="eastAsia" w:ascii="楷体" w:hAnsi="楷体" w:eastAsia="楷体" w:cs="楷体"/>
                <w:sz w:val="24"/>
              </w:rPr>
              <w:t xml:space="preserve">，用于吊装</w:t>
            </w:r>
            <w:r>
              <w:rPr>
                <w:rFonts w:ascii="楷体" w:hAnsi="楷体" w:eastAsia="楷体" w:cs="楷体"/>
                <w:sz w:val="24"/>
              </w:rPr>
              <w:t xml:space="preserve">。</w:t>
            </w:r>
            <w:r>
              <w:rPr>
                <w:rFonts w:hint="eastAsia" w:ascii="楷体" w:hAnsi="楷体" w:eastAsia="楷体" w:cs="楷体"/>
                <w:sz w:val="24"/>
              </w:rPr>
            </w:r>
            <w:r/>
          </w:p>
          <w:p>
            <w:pPr>
              <w:pStyle w:val="729"/>
              <w:rPr>
                <w:rFonts w:hint="eastAsia" w:ascii="楷体" w:hAnsi="楷体" w:eastAsia="楷体" w:cs="楷体"/>
                <w:sz w:val="24"/>
              </w:rPr>
            </w:pPr>
            <w:r>
              <w:rPr>
                <w:rFonts w:ascii="楷体" w:hAnsi="楷体" w:eastAsia="楷体" w:cs="楷体"/>
                <w:sz w:val="24"/>
              </w:rPr>
              <w:t xml:space="preserve">门栓：内部配有门栓，门栓由ABS注塑成型，门栓里面有标识牌，可以显示是否有人。 </w:t>
            </w:r>
            <w:r>
              <w:rPr>
                <w:rFonts w:hint="eastAsia" w:ascii="楷体" w:hAnsi="楷体" w:eastAsia="楷体" w:cs="楷体"/>
                <w:sz w:val="24"/>
              </w:rPr>
            </w:r>
            <w:r/>
          </w:p>
          <w:p>
            <w:pPr>
              <w:pStyle w:val="729"/>
              <w:rPr>
                <w:rFonts w:hint="eastAsia" w:ascii="楷体" w:hAnsi="楷体" w:eastAsia="楷体" w:cs="楷体"/>
                <w:b/>
                <w:bCs/>
                <w:sz w:val="24"/>
              </w:rPr>
            </w:pPr>
            <w:r>
              <w:rPr>
                <w:rFonts w:hint="eastAsia" w:ascii="楷体" w:hAnsi="楷体" w:eastAsia="楷体" w:cs="楷体"/>
                <w:sz w:val="24"/>
              </w:rPr>
              <w:t xml:space="preserve">▲</w:t>
            </w:r>
            <w:r>
              <w:rPr>
                <w:rFonts w:hint="eastAsia" w:ascii="楷体" w:hAnsi="楷体" w:eastAsia="楷体" w:cs="楷体"/>
                <w:b/>
                <w:bCs/>
                <w:sz w:val="24"/>
              </w:rPr>
              <w:t xml:space="preserve">11、门板提供带CMA标识的检测报告：GB/T5470-2008 《塑料冲击法脆化温度的测定》低温脆化温度（℃）温度 ≤-55℃无破坏；GB/T1634.1-2019《塑料负荷变形温度的测定第1部分：通用测验方法》热变形温度 摄氏度：≥45。</w:t>
            </w:r>
            <w:r/>
          </w:p>
        </w:tc>
        <w:tc>
          <w:tcPr>
            <w:tcW w:w="708" w:type="dxa"/>
            <w:vAlign w:val="center"/>
            <w:textDirection w:val="lrTb"/>
            <w:noWrap w:val="false"/>
          </w:tcPr>
          <w:p>
            <w:pPr>
              <w:pStyle w:val="729"/>
              <w:jc w:val="center"/>
              <w:rPr>
                <w:rFonts w:hint="eastAsia" w:ascii="楷体" w:hAnsi="楷体" w:eastAsia="楷体" w:cs="楷体"/>
                <w:sz w:val="24"/>
              </w:rPr>
            </w:pPr>
            <w:r>
              <w:rPr>
                <w:rFonts w:hint="eastAsia" w:ascii="楷体" w:hAnsi="楷体" w:eastAsia="楷体" w:cs="楷体"/>
                <w:sz w:val="24"/>
              </w:rPr>
              <w:t xml:space="preserve">5</w:t>
            </w:r>
            <w:r/>
          </w:p>
        </w:tc>
        <w:tc>
          <w:tcPr>
            <w:tcW w:w="709" w:type="dxa"/>
            <w:vAlign w:val="center"/>
            <w:textDirection w:val="lrTb"/>
            <w:noWrap w:val="false"/>
          </w:tcPr>
          <w:p>
            <w:pPr>
              <w:pStyle w:val="729"/>
              <w:jc w:val="center"/>
              <w:rPr>
                <w:rFonts w:hint="eastAsia" w:ascii="楷体" w:hAnsi="楷体" w:eastAsia="楷体" w:cs="楷体"/>
                <w:b/>
                <w:bCs/>
                <w:sz w:val="24"/>
              </w:rPr>
            </w:pPr>
            <w:r>
              <w:rPr>
                <w:rFonts w:hint="eastAsia" w:ascii="楷体" w:hAnsi="楷体" w:eastAsia="楷体" w:cs="楷体"/>
                <w:sz w:val="24"/>
              </w:rPr>
              <w:t xml:space="preserve">套</w:t>
            </w:r>
            <w:r>
              <w:rPr>
                <w:rFonts w:hint="eastAsia" w:ascii="楷体" w:hAnsi="楷体" w:eastAsia="楷体" w:cs="楷体"/>
                <w:b/>
                <w:bCs/>
                <w:sz w:val="24"/>
              </w:rPr>
            </w:r>
            <w:r/>
          </w:p>
        </w:tc>
      </w:tr>
      <w:tr>
        <w:trPr>
          <w:trHeight w:val="535"/>
        </w:trPr>
        <w:tc>
          <w:tcPr>
            <w:gridSpan w:val="6"/>
            <w:tcW w:w="13961" w:type="dxa"/>
            <w:vAlign w:val="center"/>
            <w:textDirection w:val="lrTb"/>
            <w:noWrap w:val="false"/>
          </w:tcPr>
          <w:p>
            <w:pPr>
              <w:pStyle w:val="729"/>
              <w:jc w:val="center"/>
              <w:tabs>
                <w:tab w:val="left" w:pos="12491" w:leader="none"/>
              </w:tabs>
              <w:rPr>
                <w:rFonts w:hint="eastAsia" w:ascii="楷体" w:hAnsi="楷体" w:eastAsia="楷体" w:cs="楷体"/>
                <w:b/>
                <w:bCs/>
                <w:sz w:val="24"/>
              </w:rPr>
            </w:pPr>
            <w:r>
              <w:rPr>
                <w:rFonts w:hint="eastAsia" w:ascii="楷体" w:hAnsi="楷体" w:eastAsia="楷体" w:cs="楷体"/>
                <w:b/>
                <w:bCs/>
                <w:sz w:val="30"/>
                <w:szCs w:val="30"/>
              </w:rPr>
              <w:t xml:space="preserve">核心产品：“16m2”充气帐篷</w:t>
            </w:r>
            <w:r>
              <w:rPr>
                <w:rFonts w:hint="eastAsia" w:ascii="楷体" w:hAnsi="楷体" w:eastAsia="楷体" w:cs="楷体"/>
                <w:b/>
                <w:bCs/>
                <w:sz w:val="30"/>
                <w:szCs w:val="30"/>
              </w:rPr>
              <w:t xml:space="preserve">、折叠桌椅（铝合金）、</w:t>
            </w:r>
            <w:r>
              <w:rPr>
                <w:rFonts w:hint="eastAsia" w:ascii="楷体" w:hAnsi="楷体" w:eastAsia="楷体" w:cs="楷体"/>
                <w:b/>
                <w:bCs/>
                <w:sz w:val="30"/>
                <w:szCs w:val="30"/>
              </w:rPr>
              <w:t xml:space="preserve">多功能睡袋、防潮垫</w:t>
            </w:r>
            <w:r>
              <w:tab/>
            </w:r>
            <w:r/>
          </w:p>
        </w:tc>
      </w:tr>
    </w:tbl>
    <w:p>
      <w:pPr>
        <w:pStyle w:val="796"/>
        <w:ind w:left="0" w:firstLine="0"/>
        <w:rPr>
          <w:rFonts w:hint="eastAsia"/>
          <w:b/>
          <w:bCs/>
          <w:sz w:val="28"/>
          <w:szCs w:val="28"/>
        </w:rPr>
      </w:pPr>
      <w:r>
        <w:rPr>
          <w:rFonts w:hint="eastAsia"/>
          <w:b/>
          <w:bCs/>
          <w:sz w:val="28"/>
          <w:szCs w:val="28"/>
        </w:rPr>
      </w:r>
      <w:r/>
    </w:p>
    <w:p>
      <w:pPr>
        <w:pStyle w:val="729"/>
        <w:spacing w:line="360" w:lineRule="auto"/>
        <w:tabs>
          <w:tab w:val="left" w:pos="360" w:leader="none"/>
        </w:tabs>
        <w:rPr>
          <w:rFonts w:hint="eastAsia"/>
          <w:sz w:val="24"/>
        </w:rPr>
        <w:sectPr>
          <w:footnotePr/>
          <w:endnotePr/>
          <w:type w:val="nextPage"/>
          <w:pgSz w:w="16838" w:h="11906" w:orient="landscape"/>
          <w:pgMar w:top="1134" w:right="1134" w:bottom="1134" w:left="1276" w:header="851" w:footer="851" w:gutter="0"/>
          <w:cols w:num="1" w:sep="0" w:space="720" w:equalWidth="1"/>
          <w:docGrid w:linePitch="360"/>
        </w:sectPr>
        <w:outlineLvl w:val="1"/>
      </w:pPr>
      <w:r>
        <w:rPr>
          <w:rFonts w:hint="eastAsia"/>
          <w:sz w:val="24"/>
        </w:rPr>
      </w:r>
      <w:r/>
    </w:p>
    <w:p>
      <w:pPr>
        <w:pStyle w:val="729"/>
        <w:rPr>
          <w:rFonts w:hint="eastAsia"/>
          <w:b/>
          <w:sz w:val="36"/>
          <w:szCs w:val="36"/>
        </w:rPr>
      </w:pPr>
      <w:r>
        <w:rPr>
          <w:rFonts w:hint="eastAsia"/>
          <w:b/>
          <w:sz w:val="36"/>
          <w:szCs w:val="36"/>
        </w:rPr>
      </w:r>
      <w:r/>
    </w:p>
    <w:p>
      <w:pPr>
        <w:pStyle w:val="729"/>
        <w:jc w:val="center"/>
        <w:tabs>
          <w:tab w:val="left" w:pos="888" w:leader="none"/>
        </w:tabs>
        <w:rPr>
          <w:rFonts w:hint="eastAsia"/>
          <w:b/>
          <w:sz w:val="36"/>
          <w:szCs w:val="36"/>
        </w:rPr>
      </w:pPr>
      <w:r>
        <w:rPr>
          <w:b/>
          <w:sz w:val="36"/>
          <w:szCs w:val="36"/>
        </w:rPr>
        <w:t xml:space="preserve">第六章   拟签订的合同文本</w:t>
      </w:r>
      <w:bookmarkEnd w:id="285"/>
      <w:r>
        <w:rPr>
          <w:rFonts w:hint="eastAsia"/>
          <w:b/>
          <w:sz w:val="36"/>
          <w:szCs w:val="36"/>
        </w:rPr>
      </w:r>
      <w:r/>
    </w:p>
    <w:p>
      <w:pPr>
        <w:pStyle w:val="729"/>
        <w:ind w:firstLine="480"/>
        <w:jc w:val="left"/>
        <w:spacing w:line="380" w:lineRule="exact"/>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本项目</w:t>
      </w:r>
      <w:r>
        <w:rPr>
          <w:rFonts w:hint="eastAsia" w:ascii="宋体" w:hAnsi="宋体"/>
          <w:sz w:val="24"/>
          <w:lang w:val="zh-CN"/>
        </w:rPr>
        <w:t xml:space="preserve">的采购结果签订本合同。</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第一条　采购内容</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1、项目名称： 　　　　　　　　　　　　　　　　　　　　 </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2、采购内容： </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3、服务范围： </w:t>
      </w:r>
      <w:r>
        <w:rPr>
          <w:rFonts w:ascii="宋体" w:hAnsi="宋体"/>
          <w:sz w:val="24"/>
        </w:rPr>
        <w:t xml:space="preserve">。 </w:t>
      </w:r>
      <w:r>
        <w:rPr>
          <w:rFonts w:hint="eastAsia" w:ascii="宋体" w:hAnsi="宋体"/>
          <w:sz w:val="24"/>
        </w:rPr>
        <w:t xml:space="preserve">　　　　　　　　　　　　　　　　　　　　　　　　</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4、合同期限： 　　　　　　　　　　　　　</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5、其他：　　　　　　　　　　　　　　　　　　　　　　　　　　　　</w:t>
      </w:r>
      <w:r>
        <w:rPr>
          <w:rFonts w:ascii="宋体" w:hAnsi="宋体"/>
          <w:sz w:val="24"/>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第二条　合同总价款</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本合同人民币总价款为　　</w:t>
      </w:r>
      <w:r>
        <w:rPr>
          <w:rFonts w:hint="eastAsia" w:ascii="宋体" w:hAnsi="宋体"/>
          <w:sz w:val="24"/>
          <w:lang w:val="zh-CN"/>
        </w:rPr>
        <w:t xml:space="preserve">　　　　　（小写），　　　　　　　　（大写）。</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第三条　组成本合同的有关文件</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（1）采购文件；</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（2）投标文件；</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（3）中标通知书；</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（5）甲乙双方商定的其他文件等。</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第四条　权利保证</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第五条　质量保证和售后服务</w:t>
      </w:r>
      <w:r>
        <w:rPr>
          <w:rFonts w:ascii="宋体" w:hAnsi="宋体"/>
          <w:sz w:val="24"/>
          <w:lang w:val="zh-CN"/>
        </w:rPr>
      </w:r>
      <w:r/>
    </w:p>
    <w:p>
      <w:pPr>
        <w:pStyle w:val="729"/>
        <w:ind w:firstLine="480"/>
        <w:jc w:val="left"/>
        <w:spacing w:line="380" w:lineRule="exact"/>
        <w:widowControl/>
        <w:rPr>
          <w:rFonts w:ascii="宋体" w:hAnsi="宋体"/>
          <w:sz w:val="24"/>
        </w:rPr>
      </w:pPr>
      <w:r>
        <w:rPr>
          <w:rFonts w:hint="eastAsia" w:ascii="宋体" w:hAnsi="宋体"/>
          <w:sz w:val="24"/>
        </w:rPr>
        <w:t xml:space="preserve">1、乙方应按采购文件规定的服务要求、技术要求、质量标准向甲方提供服务。</w:t>
      </w:r>
      <w:r>
        <w:rPr>
          <w:rFonts w:ascii="宋体" w:hAnsi="宋体"/>
          <w:sz w:val="24"/>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2、质量保证：　　　　　　　　　　　　　　　　　　　　　　　　　　</w:t>
      </w:r>
      <w:r>
        <w:rPr>
          <w:rFonts w:ascii="宋体" w:hAnsi="宋体"/>
          <w:sz w:val="24"/>
          <w:lang w:val="zh-CN"/>
        </w:rPr>
      </w:r>
      <w:r/>
    </w:p>
    <w:p>
      <w:pPr>
        <w:pStyle w:val="729"/>
        <w:ind w:firstLine="480"/>
        <w:jc w:val="left"/>
        <w:spacing w:line="380" w:lineRule="exact"/>
        <w:widowControl/>
        <w:rPr>
          <w:rFonts w:ascii="宋体" w:hAnsi="宋体"/>
          <w:sz w:val="24"/>
        </w:rPr>
      </w:pPr>
      <w:r>
        <w:rPr>
          <w:rFonts w:hint="eastAsia" w:ascii="宋体" w:hAnsi="宋体"/>
          <w:sz w:val="24"/>
          <w:lang w:val="zh-CN"/>
        </w:rPr>
        <w:t xml:space="preserve">3、售后服务：　　　　　　　　　　　　　　　　　　　　　　　　　　</w:t>
      </w:r>
      <w:r>
        <w:rPr>
          <w:rFonts w:ascii="宋体" w:hAnsi="宋体"/>
          <w:sz w:val="24"/>
        </w:rPr>
      </w:r>
      <w:r/>
    </w:p>
    <w:p>
      <w:pPr>
        <w:pStyle w:val="729"/>
        <w:ind w:firstLine="480"/>
        <w:jc w:val="left"/>
        <w:spacing w:line="380" w:lineRule="exact"/>
        <w:widowControl/>
        <w:rPr>
          <w:rFonts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第六条　验收</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验收标准：按采购文件所规定的服务标准和乙方投标文件的承诺</w:t>
      </w:r>
      <w:r>
        <w:rPr>
          <w:rFonts w:hint="eastAsia" w:ascii="宋体" w:hAnsi="宋体"/>
          <w:sz w:val="24"/>
        </w:rPr>
        <w:t xml:space="preserve">。</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第七条　付款</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1、本合同项下所有款项均以人民币支付，乙方向甲方</w:t>
      </w:r>
      <w:r>
        <w:rPr>
          <w:rFonts w:hint="eastAsia" w:ascii="宋体" w:hAnsi="宋体"/>
          <w:sz w:val="24"/>
          <w:lang w:val="zh-CN"/>
        </w:rPr>
        <w:t xml:space="preserve">开具发票。</w:t>
      </w:r>
      <w:r>
        <w:rPr>
          <w:rFonts w:ascii="宋体" w:hAnsi="宋体"/>
          <w:sz w:val="24"/>
          <w:lang w:val="zh-CN"/>
        </w:rPr>
      </w:r>
      <w:r/>
    </w:p>
    <w:p>
      <w:pPr>
        <w:pStyle w:val="729"/>
        <w:ind w:firstLine="480"/>
        <w:jc w:val="left"/>
        <w:spacing w:line="380" w:lineRule="exact"/>
        <w:widowControl/>
        <w:rPr>
          <w:rFonts w:ascii="宋体" w:hAnsi="宋体"/>
          <w:b/>
          <w:sz w:val="24"/>
          <w:lang w:val="zh-CN"/>
        </w:rPr>
      </w:pPr>
      <w:r>
        <w:rPr>
          <w:rFonts w:hint="eastAsia" w:ascii="宋体" w:hAnsi="宋体"/>
          <w:b/>
          <w:sz w:val="24"/>
          <w:lang w:val="zh-CN"/>
        </w:rPr>
        <w:t xml:space="preserve">2、付款方式： </w:t>
      </w:r>
      <w:r>
        <w:rPr>
          <w:rFonts w:ascii="宋体" w:hAnsi="宋体"/>
          <w:b/>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第八条　违约责任</w:t>
      </w:r>
      <w:r>
        <w:rPr>
          <w:rFonts w:ascii="宋体" w:hAnsi="宋体"/>
          <w:sz w:val="24"/>
          <w:lang w:val="zh-CN"/>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w:t>
      </w:r>
      <w:r>
        <w:rPr>
          <w:rFonts w:hint="eastAsia" w:ascii="宋体" w:hAnsi="宋体"/>
          <w:color w:val="000000"/>
          <w:sz w:val="24"/>
        </w:rPr>
        <w:t xml:space="preserve">分以达到合同规定的要求并承担一切费用和风险，同时承担甲方因此所遭受的全部损失；</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29"/>
        <w:ind w:firstLine="480"/>
        <w:jc w:val="left"/>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729"/>
        <w:ind w:firstLine="480"/>
        <w:jc w:val="left"/>
        <w:spacing w:line="380" w:lineRule="exact"/>
        <w:widowControl/>
        <w:rPr>
          <w:rFonts w:ascii="宋体" w:hAnsi="宋体"/>
          <w:sz w:val="24"/>
        </w:rPr>
      </w:pPr>
      <w:r>
        <w:rPr>
          <w:rFonts w:hint="eastAsia" w:ascii="宋体" w:hAnsi="宋体"/>
          <w:color w:val="000000"/>
          <w:sz w:val="24"/>
        </w:rPr>
        <w:t xml:space="preserve">8、其他：　　　　　　　　　　　　　　　　　　　　　</w:t>
      </w:r>
      <w:r>
        <w:rPr>
          <w:rFonts w:hint="eastAsia" w:ascii="宋体" w:hAnsi="宋体"/>
          <w:sz w:val="24"/>
        </w:rPr>
        <w:t xml:space="preserve">　　　　　　　</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4、合同各方应根据不可抗力对本合同履行的影响程度，协商确定是否</w:t>
      </w:r>
      <w:r>
        <w:rPr>
          <w:rFonts w:hint="eastAsia" w:ascii="宋体" w:hAnsi="宋体"/>
          <w:sz w:val="24"/>
        </w:rPr>
        <w:t xml:space="preserve">终止本合同或是继续履行本合同。</w:t>
      </w:r>
      <w:r>
        <w:rPr>
          <w:rFonts w:ascii="宋体" w:hAnsi="宋体"/>
          <w:sz w:val="24"/>
        </w:rPr>
      </w:r>
      <w:r/>
    </w:p>
    <w:p>
      <w:pPr>
        <w:pStyle w:val="729"/>
        <w:ind w:firstLine="480"/>
        <w:jc w:val="left"/>
        <w:spacing w:line="380" w:lineRule="exact"/>
        <w:widowControl/>
        <w:rPr>
          <w:rFonts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729"/>
        <w:ind w:firstLine="480"/>
        <w:jc w:val="left"/>
        <w:spacing w:line="380" w:lineRule="exact"/>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第十一条  合同的终止</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本合同因下列原因而终止：</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(1)本合同正常履行完毕；</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(2)因不可抗力导致本合同无法履行或履行不必要；</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(3)任何一方行使解除权解除本合同；</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(4)合同的继续履行将损害国家利益和社会公共利益。</w:t>
      </w:r>
      <w:r>
        <w:rPr>
          <w:rFonts w:ascii="宋体" w:hAnsi="宋体"/>
          <w:sz w:val="24"/>
        </w:rPr>
      </w:r>
      <w:r/>
    </w:p>
    <w:p>
      <w:pPr>
        <w:pStyle w:val="729"/>
        <w:ind w:firstLine="480"/>
        <w:jc w:val="left"/>
        <w:spacing w:line="380" w:lineRule="exact"/>
        <w:widowControl/>
        <w:rPr>
          <w:rFonts w:ascii="宋体" w:hAnsi="宋体"/>
          <w:sz w:val="24"/>
        </w:rPr>
      </w:pPr>
      <w:r>
        <w:rPr>
          <w:rFonts w:hint="eastAsia" w:ascii="宋体" w:hAnsi="宋体"/>
          <w:sz w:val="24"/>
        </w:rPr>
        <w:t xml:space="preserve">除上述情形外，甲乙双方不得擅自终止合同。</w:t>
      </w:r>
      <w:r>
        <w:rPr>
          <w:rFonts w:ascii="宋体" w:hAnsi="宋体"/>
          <w:sz w:val="24"/>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第十二条　争议的解决</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（1）  </w:t>
      </w:r>
      <w:r>
        <w:rPr>
          <w:rFonts w:hint="eastAsia" w:ascii="宋体" w:hAnsi="宋体"/>
          <w:sz w:val="24"/>
          <w:lang w:val="zh-CN"/>
        </w:rPr>
        <w:t xml:space="preserve">种方式解决争议：</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（2）向甲方所在地仲裁委员会按其仲裁规则申请仲裁。</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2、在仲裁期间，本合同应继续履行。</w:t>
      </w:r>
      <w:r>
        <w:rPr>
          <w:rFonts w:ascii="宋体" w:hAnsi="宋体"/>
          <w:sz w:val="24"/>
          <w:lang w:val="zh-CN"/>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第十三条　合同生效及其他</w:t>
      </w:r>
      <w:r>
        <w:rPr>
          <w:rFonts w:ascii="宋体" w:hAnsi="宋体"/>
          <w:sz w:val="24"/>
          <w:lang w:val="zh-CN"/>
        </w:rPr>
      </w:r>
      <w:r/>
    </w:p>
    <w:p>
      <w:pPr>
        <w:pStyle w:val="729"/>
        <w:ind w:firstLine="480"/>
        <w:jc w:val="left"/>
        <w:spacing w:line="380" w:lineRule="exact"/>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rPr>
          <w:rFonts w:ascii="宋体" w:hAnsi="宋体"/>
          <w:sz w:val="24"/>
        </w:rPr>
      </w:r>
      <w:r/>
    </w:p>
    <w:p>
      <w:pPr>
        <w:pStyle w:val="729"/>
        <w:ind w:firstLine="480"/>
        <w:jc w:val="left"/>
        <w:spacing w:line="380" w:lineRule="exact"/>
        <w:widowControl/>
        <w:rPr>
          <w:rFonts w:ascii="宋体" w:hAnsi="宋体"/>
          <w:sz w:val="24"/>
          <w:lang w:val="zh-CN"/>
        </w:rPr>
      </w:pPr>
      <w:r>
        <w:rPr>
          <w:rFonts w:hint="eastAsia" w:ascii="宋体" w:hAnsi="宋体"/>
          <w:sz w:val="24"/>
          <w:lang w:val="zh-CN"/>
        </w:rPr>
        <w:t xml:space="preserve">2、本合同应按照中华人民共和国的现行法律进行解释。</w:t>
      </w:r>
      <w:r>
        <w:rPr>
          <w:rFonts w:ascii="宋体" w:hAnsi="宋体"/>
          <w:sz w:val="24"/>
          <w:lang w:val="zh-CN"/>
        </w:rPr>
      </w:r>
      <w:r/>
    </w:p>
    <w:p>
      <w:pPr>
        <w:pStyle w:val="729"/>
        <w:ind w:firstLine="480"/>
        <w:jc w:val="left"/>
        <w:spacing w:line="360" w:lineRule="auto"/>
        <w:widowControl/>
        <w:rPr>
          <w:rFonts w:ascii="宋体" w:hAnsi="宋体"/>
          <w:sz w:val="24"/>
          <w:lang w:val="zh-CN"/>
        </w:rPr>
      </w:pPr>
      <w:r>
        <w:rPr>
          <w:rFonts w:ascii="宋体" w:hAnsi="宋体"/>
          <w:sz w:val="24"/>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甲方（采购人）：      （盖章）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乙方（投标人）：   </w:t>
            </w:r>
            <w:r>
              <w:rPr>
                <w:rFonts w:hint="eastAsia" w:ascii="宋体" w:hAnsi="宋体"/>
                <w:sz w:val="24"/>
              </w:rPr>
              <w:t xml:space="preserve">   （盖章）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2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29"/>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29"/>
              <w:jc w:val="left"/>
              <w:spacing w:line="360" w:lineRule="auto"/>
              <w:widowControl/>
              <w:rPr>
                <w:rFonts w:hint="eastAsia" w:ascii="宋体" w:hAnsi="宋体"/>
                <w:sz w:val="24"/>
              </w:rPr>
            </w:pPr>
            <w:r>
              <w:rPr>
                <w:rFonts w:hint="eastAsia" w:ascii="宋体" w:hAnsi="宋体"/>
                <w:sz w:val="24"/>
              </w:rPr>
            </w:r>
            <w:r/>
          </w:p>
        </w:tc>
      </w:tr>
    </w:tbl>
    <w:p>
      <w:pPr>
        <w:pStyle w:val="729"/>
        <w:spacing w:line="360" w:lineRule="auto"/>
        <w:tabs>
          <w:tab w:val="left" w:pos="900" w:leader="none"/>
          <w:tab w:val="left" w:pos="1080" w:leader="none"/>
        </w:tabs>
        <w:rPr>
          <w:sz w:val="18"/>
          <w:szCs w:val="18"/>
          <w:highlight w:val="red"/>
        </w:rPr>
      </w:pPr>
      <w:r>
        <w:rPr>
          <w:sz w:val="18"/>
          <w:szCs w:val="18"/>
          <w:highlight w:val="red"/>
        </w:rPr>
      </w:r>
      <w:r/>
    </w:p>
    <w:p>
      <w:pPr>
        <w:pStyle w:val="729"/>
        <w:spacing w:line="360" w:lineRule="auto"/>
        <w:tabs>
          <w:tab w:val="left" w:pos="900" w:leader="none"/>
          <w:tab w:val="left" w:pos="1080" w:leader="none"/>
        </w:tabs>
        <w:rPr>
          <w:sz w:val="18"/>
          <w:szCs w:val="18"/>
          <w:highlight w:val="red"/>
        </w:rPr>
      </w:pPr>
      <w:r>
        <w:rPr>
          <w:sz w:val="18"/>
          <w:szCs w:val="18"/>
          <w:highlight w:val="red"/>
        </w:rPr>
      </w:r>
      <w:r/>
    </w:p>
    <w:p>
      <w:pPr>
        <w:pStyle w:val="729"/>
        <w:jc w:val="left"/>
        <w:widowControl/>
        <w:rPr>
          <w:b/>
          <w:sz w:val="36"/>
          <w:szCs w:val="36"/>
        </w:rPr>
      </w:pPr>
      <w:r>
        <w:rPr>
          <w:b/>
          <w:sz w:val="36"/>
          <w:szCs w:val="36"/>
        </w:rPr>
      </w:r>
      <w:r/>
    </w:p>
    <w:p>
      <w:pPr>
        <w:pStyle w:val="761"/>
        <w:ind w:firstLine="480"/>
        <w:jc w:val="center"/>
        <w:spacing w:before="0" w:line="360" w:lineRule="auto"/>
      </w:pPr>
      <w:r/>
      <w:r/>
    </w:p>
    <w:p>
      <w:pPr>
        <w:pStyle w:val="761"/>
        <w:ind w:firstLine="723"/>
        <w:jc w:val="center"/>
        <w:spacing w:before="0" w:line="360" w:lineRule="auto"/>
        <w:rPr>
          <w:b/>
          <w:sz w:val="36"/>
          <w:szCs w:val="36"/>
        </w:rPr>
      </w:pPr>
      <w:r>
        <w:rPr>
          <w:b/>
          <w:sz w:val="36"/>
          <w:szCs w:val="36"/>
        </w:rPr>
      </w:r>
      <w:r/>
    </w:p>
    <w:p>
      <w:pPr>
        <w:pStyle w:val="761"/>
        <w:ind w:firstLine="723"/>
        <w:jc w:val="center"/>
        <w:spacing w:before="0" w:line="360" w:lineRule="auto"/>
        <w:rPr>
          <w:b/>
          <w:sz w:val="36"/>
          <w:szCs w:val="36"/>
        </w:rPr>
      </w:pPr>
      <w:r>
        <w:rPr>
          <w:b/>
          <w:sz w:val="36"/>
          <w:szCs w:val="36"/>
        </w:rPr>
      </w:r>
      <w:r/>
    </w:p>
    <w:p>
      <w:pPr>
        <w:pStyle w:val="761"/>
        <w:ind w:firstLine="723"/>
        <w:jc w:val="center"/>
        <w:spacing w:before="0" w:line="360" w:lineRule="auto"/>
        <w:rPr>
          <w:b/>
          <w:sz w:val="36"/>
          <w:szCs w:val="36"/>
        </w:rPr>
      </w:pPr>
      <w:r>
        <w:rPr>
          <w:b/>
          <w:sz w:val="36"/>
          <w:szCs w:val="36"/>
        </w:rPr>
      </w:r>
      <w:r/>
    </w:p>
    <w:p>
      <w:pPr>
        <w:pStyle w:val="761"/>
        <w:ind w:firstLine="723"/>
        <w:jc w:val="center"/>
        <w:spacing w:before="0" w:line="360" w:lineRule="auto"/>
        <w:rPr>
          <w:b/>
          <w:sz w:val="36"/>
          <w:szCs w:val="36"/>
        </w:rPr>
      </w:pPr>
      <w:r>
        <w:rPr>
          <w:b/>
          <w:sz w:val="36"/>
          <w:szCs w:val="36"/>
        </w:rPr>
      </w:r>
      <w:r/>
    </w:p>
    <w:p>
      <w:pPr>
        <w:pStyle w:val="761"/>
        <w:ind w:firstLine="723"/>
        <w:jc w:val="center"/>
        <w:spacing w:before="0" w:line="360" w:lineRule="auto"/>
        <w:rPr>
          <w:rFonts w:hint="eastAsia"/>
          <w:b/>
          <w:sz w:val="36"/>
          <w:szCs w:val="36"/>
        </w:rPr>
      </w:pPr>
      <w:r>
        <w:rPr>
          <w:rFonts w:hint="eastAsia"/>
          <w:b/>
          <w:sz w:val="36"/>
          <w:szCs w:val="36"/>
        </w:rPr>
      </w:r>
      <w:r/>
    </w:p>
    <w:p>
      <w:pPr>
        <w:pStyle w:val="761"/>
        <w:spacing w:before="0" w:line="360" w:lineRule="auto"/>
        <w:rPr>
          <w:rFonts w:hint="eastAsia"/>
          <w:b/>
          <w:sz w:val="36"/>
          <w:szCs w:val="36"/>
        </w:rPr>
      </w:pPr>
      <w:r>
        <w:rPr>
          <w:rFonts w:hint="eastAsia"/>
          <w:b/>
          <w:sz w:val="36"/>
          <w:szCs w:val="36"/>
        </w:rPr>
      </w:r>
      <w:r/>
    </w:p>
    <w:p>
      <w:pPr>
        <w:pStyle w:val="761"/>
        <w:ind w:firstLine="723"/>
        <w:jc w:val="center"/>
        <w:spacing w:before="0" w:line="360" w:lineRule="auto"/>
        <w:rPr>
          <w:b/>
          <w:sz w:val="36"/>
          <w:szCs w:val="36"/>
        </w:rPr>
      </w:pPr>
      <w:r>
        <w:rPr>
          <w:b/>
          <w:sz w:val="36"/>
          <w:szCs w:val="36"/>
        </w:rPr>
        <w:t xml:space="preserve">第七章</w:t>
      </w:r>
      <w:r>
        <w:rPr>
          <w:rFonts w:hint="eastAsia"/>
          <w:b/>
          <w:sz w:val="36"/>
          <w:szCs w:val="36"/>
        </w:rPr>
        <w:t xml:space="preserve">   投标文件的组成及提交须知</w:t>
      </w:r>
      <w:r>
        <w:rPr>
          <w:b/>
          <w:sz w:val="36"/>
          <w:szCs w:val="36"/>
        </w:rPr>
      </w:r>
      <w:r/>
    </w:p>
    <w:tbl>
      <w:tblPr>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5670"/>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9"/>
              <w:jc w:val="center"/>
              <w:rPr>
                <w:rFonts w:ascii="宋体" w:hAnsi="宋体" w:cs="宋体"/>
                <w:b/>
                <w:color w:val="000000"/>
                <w:szCs w:val="21"/>
              </w:rPr>
            </w:pPr>
            <w:r/>
            <w:bookmarkStart w:id="289" w:name="_Hlk152937762"/>
            <w:r>
              <w:rPr>
                <w:rFonts w:hint="eastAsia" w:ascii="宋体" w:hAnsi="宋体" w:cs="宋体"/>
                <w:b/>
                <w:color w:val="000000"/>
                <w:szCs w:val="21"/>
                <w:lang w:bidi="ar"/>
              </w:rPr>
              <w:t xml:space="preserve">名称</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29"/>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29"/>
              <w:ind w:left="211" w:hanging="211"/>
              <w:rPr>
                <w:rFonts w:ascii="宋体" w:hAnsi="宋体" w:cs="宋体"/>
                <w:color w:val="000000"/>
                <w:szCs w:val="21"/>
              </w:rPr>
            </w:pPr>
            <w:r>
              <w:rPr>
                <w:rFonts w:hint="eastAsia" w:ascii="宋体" w:hAnsi="宋体" w:cs="宋体"/>
                <w:b/>
                <w:color w:val="000000"/>
                <w:szCs w:val="21"/>
                <w:lang w:bidi="ar"/>
              </w:rPr>
              <w:t xml:space="preserve">投标文件组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投标文件封面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*开标一览表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b/>
                <w:bCs/>
                <w:color w:val="ff0000"/>
                <w:szCs w:val="21"/>
              </w:rPr>
            </w:pPr>
            <w:r>
              <w:rPr>
                <w:rFonts w:hint="eastAsia" w:ascii="宋体" w:hAnsi="宋体" w:cs="宋体"/>
                <w:color w:val="000000"/>
                <w:szCs w:val="21"/>
              </w:rPr>
              <w:t xml:space="preserve">△法人授权书</w:t>
            </w:r>
            <w:r>
              <w:rPr>
                <w:rFonts w:ascii="宋体" w:hAnsi="宋体" w:cs="宋体"/>
                <w:b/>
                <w:bCs/>
                <w:color w:val="ff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△落实政府采购政策需满足的资格条件</w:t>
            </w:r>
            <w:r>
              <w:rPr>
                <w:rFonts w:hint="eastAsia" w:ascii="宋体" w:hAnsi="宋体" w:cs="宋体"/>
                <w:szCs w:val="21"/>
              </w:rPr>
              <w:t xml:space="preserve">（详见第一章“采购邀请”）：</w:t>
            </w:r>
            <w:r>
              <w:rPr>
                <w:b/>
                <w:bCs/>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hint="eastAsia" w:ascii="宋体" w:hAnsi="宋体" w:cs="宋体"/>
                <w:color w:val="000000"/>
                <w:szCs w:val="21"/>
              </w:rPr>
            </w:pPr>
            <w:r>
              <w:rPr>
                <w:rFonts w:hint="eastAsia" w:ascii="宋体" w:hAnsi="宋体" w:cs="宋体"/>
                <w:color w:val="000000"/>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9"/>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△特定资格条件</w:t>
            </w:r>
            <w:r>
              <w:rPr>
                <w:rFonts w:hint="eastAsia" w:ascii="宋体" w:hAnsi="宋体" w:cs="宋体"/>
                <w:szCs w:val="21"/>
              </w:rPr>
              <w:t xml:space="preserve">（详见“第三章 资格审查”—“第二节 资格审查要求”</w:t>
            </w:r>
            <w:r>
              <w:rPr>
                <w:rFonts w:hint="eastAsia" w:ascii="宋体" w:hAnsi="宋体" w:cs="宋体"/>
                <w:szCs w:val="21"/>
              </w:rPr>
              <w:t xml:space="preserve">）</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29"/>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*报价明细表</w:t>
            </w:r>
            <w:r>
              <w:rPr>
                <w:rFonts w:ascii="宋体" w:hAnsi="宋体" w:cs="宋体"/>
                <w:color w:val="000000"/>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2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center"/>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*商务、技术偏离表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29"/>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top"/>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*投标（响应）文件有效性(根据采购文件要求填写,如采购文件无相关要求,此条可不填写)</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9"/>
              <w:ind w:firstLine="422"/>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670" w:type="dxa"/>
            <w:vAlign w:val="top"/>
            <w:textDirection w:val="lrTb"/>
            <w:noWrap w:val="false"/>
          </w:tcPr>
          <w:p>
            <w:pPr>
              <w:pStyle w:val="729"/>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29"/>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29"/>
              <w:ind w:firstLine="211"/>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5670" w:type="dxa"/>
            <w:vAlign w:val="top"/>
            <w:textDirection w:val="lrTb"/>
            <w:noWrap w:val="false"/>
          </w:tcPr>
          <w:p>
            <w:pPr>
              <w:pStyle w:val="729"/>
              <w:rPr>
                <w:rFonts w:hint="eastAsia" w:ascii="宋体" w:hAnsi="宋体" w:cs="宋体"/>
                <w:color w:val="000000"/>
                <w:szCs w:val="21"/>
              </w:rPr>
            </w:pPr>
            <w:r>
              <w:rPr>
                <w:rFonts w:hint="eastAsia" w:ascii="宋体" w:hAnsi="宋体" w:cs="宋体"/>
                <w:color w:val="000000"/>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color w:val="000000"/>
                <w:szCs w:val="21"/>
              </w:rPr>
              <w:t xml:space="preserve">）</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29"/>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729"/>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172" w:type="dxa"/>
            <w:vAlign w:val="top"/>
            <w:textDirection w:val="lrTb"/>
            <w:noWrap w:val="false"/>
          </w:tcPr>
          <w:p>
            <w:pPr>
              <w:pStyle w:val="729"/>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u w:val="single"/>
              </w:rPr>
            </w:r>
            <w:r/>
          </w:p>
          <w:p>
            <w:pPr>
              <w:pStyle w:val="729"/>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729"/>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u w:val="single"/>
                <w:lang w:bidi="ar"/>
              </w:rPr>
            </w:r>
            <w:r/>
          </w:p>
          <w:p>
            <w:pPr>
              <w:pStyle w:val="729"/>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4.投标文件应按照采购文件要求的格式填写，无相应内容填写可填写“无”等明确的回答。</w:t>
            </w:r>
            <w:r>
              <w:rPr>
                <w:rFonts w:ascii="宋体" w:hAnsi="宋体" w:cs="宋体"/>
                <w:b/>
                <w:bCs/>
                <w:color w:val="000000"/>
                <w:szCs w:val="21"/>
                <w:u w:val="single"/>
                <w:lang w:bidi="ar"/>
              </w:rPr>
            </w:r>
            <w:r/>
          </w:p>
          <w:p>
            <w:pPr>
              <w:pStyle w:val="729"/>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w:t>
            </w:r>
            <w:r>
              <w:rPr>
                <w:rFonts w:hint="eastAsia" w:ascii="宋体" w:hAnsi="宋体" w:cs="宋体"/>
                <w:b/>
                <w:bCs/>
                <w:color w:val="000000"/>
                <w:szCs w:val="21"/>
                <w:u w:val="single"/>
                <w:lang w:bidi="ar"/>
              </w:rPr>
              <w:t xml:space="preserve">填写的全部信息都必须正面回答并保证是真实准确的。</w:t>
            </w:r>
            <w:r>
              <w:rPr>
                <w:rFonts w:ascii="宋体" w:hAnsi="宋体" w:cs="宋体"/>
                <w:b/>
                <w:color w:val="000000"/>
                <w:szCs w:val="21"/>
              </w:rPr>
            </w:r>
            <w:r/>
          </w:p>
        </w:tc>
      </w:tr>
    </w:tbl>
    <w:p>
      <w:pPr>
        <w:pStyle w:val="729"/>
        <w:jc w:val="center"/>
        <w:spacing w:line="360" w:lineRule="auto"/>
        <w:rPr>
          <w:b/>
          <w:sz w:val="36"/>
          <w:szCs w:val="36"/>
        </w:rPr>
        <w:outlineLvl w:val="0"/>
      </w:pPr>
      <w:r/>
      <w:bookmarkEnd w:id="289"/>
      <w:r>
        <w:rPr>
          <w:b/>
          <w:sz w:val="36"/>
          <w:szCs w:val="36"/>
        </w:rPr>
      </w:r>
      <w:r/>
    </w:p>
    <w:p>
      <w:pPr>
        <w:pStyle w:val="729"/>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286"/>
      <w:r/>
      <w:bookmarkStart w:id="290" w:name="_Toc305158823"/>
      <w:r/>
      <w:bookmarkStart w:id="291" w:name="_Toc305158897"/>
      <w:r/>
      <w:bookmarkStart w:id="292" w:name="_Toc150480793"/>
      <w:r/>
      <w:bookmarkStart w:id="293" w:name="_Toc265228393"/>
      <w:r/>
      <w:bookmarkStart w:id="294" w:name="_Toc226965828"/>
      <w:r/>
      <w:bookmarkStart w:id="295" w:name="_Toc353825545"/>
      <w:r/>
      <w:bookmarkStart w:id="296" w:name="_Toc150774760"/>
      <w:r/>
      <w:bookmarkStart w:id="297" w:name="_Toc353873665"/>
      <w:r/>
      <w:bookmarkStart w:id="298" w:name="_Toc226337251"/>
      <w:r/>
      <w:bookmarkStart w:id="299" w:name="_Toc195842920"/>
      <w:r/>
      <w:bookmarkStart w:id="300" w:name="_Toc264969245"/>
      <w:r/>
      <w:bookmarkStart w:id="301" w:name="_Toc353873935"/>
      <w:r/>
      <w:bookmarkStart w:id="302" w:name="_Toc127151555"/>
      <w:r/>
      <w:bookmarkStart w:id="303" w:name="_Toc142311057"/>
      <w:r>
        <w:rPr>
          <w:b/>
          <w:sz w:val="24"/>
        </w:rPr>
      </w:r>
      <w:r/>
    </w:p>
    <w:p>
      <w:pPr>
        <w:pStyle w:val="72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29"/>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729"/>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pStyle w:val="729"/>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29"/>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29"/>
        <w:jc w:val="left"/>
        <w:widowControl/>
        <w:rPr>
          <w:sz w:val="24"/>
        </w:rPr>
      </w:pPr>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Pr>
          <w:sz w:val="24"/>
        </w:r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729"/>
        <w:ind w:firstLine="2529"/>
        <w:rPr>
          <w:b/>
          <w:spacing w:val="20"/>
          <w:sz w:val="32"/>
          <w:szCs w:val="32"/>
        </w:rPr>
      </w:pPr>
      <w:r>
        <w:rPr>
          <w:b/>
          <w:spacing w:val="20"/>
          <w:sz w:val="32"/>
          <w:szCs w:val="32"/>
        </w:rPr>
      </w:r>
      <w:r/>
    </w:p>
    <w:p>
      <w:pPr>
        <w:pStyle w:val="729"/>
        <w:ind w:firstLine="2529"/>
        <w:rPr>
          <w:b/>
          <w:spacing w:val="20"/>
          <w:sz w:val="32"/>
          <w:szCs w:val="32"/>
        </w:rPr>
      </w:pPr>
      <w:r>
        <w:rPr>
          <w:b/>
          <w:spacing w:val="20"/>
          <w:sz w:val="32"/>
          <w:szCs w:val="32"/>
        </w:rPr>
      </w:r>
      <w:r/>
    </w:p>
    <w:p>
      <w:pPr>
        <w:pStyle w:val="729"/>
        <w:ind w:firstLine="2529"/>
        <w:rPr>
          <w:b/>
          <w:spacing w:val="20"/>
          <w:sz w:val="32"/>
          <w:szCs w:val="32"/>
        </w:rPr>
      </w:pPr>
      <w:r>
        <w:rPr>
          <w:b/>
          <w:spacing w:val="20"/>
          <w:sz w:val="32"/>
          <w:szCs w:val="32"/>
        </w:rPr>
      </w:r>
      <w:r/>
    </w:p>
    <w:p>
      <w:pPr>
        <w:pStyle w:val="729"/>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729"/>
        <w:jc w:val="center"/>
        <w:rPr>
          <w:szCs w:val="21"/>
        </w:rPr>
      </w:pPr>
      <w:r>
        <w:rPr>
          <w:szCs w:val="21"/>
        </w:rPr>
      </w:r>
      <w:r/>
    </w:p>
    <w:p>
      <w:pPr>
        <w:pStyle w:val="729"/>
        <w:jc w:val="center"/>
        <w:rPr>
          <w:b/>
          <w:spacing w:val="60"/>
          <w:sz w:val="84"/>
          <w:szCs w:val="84"/>
        </w:rPr>
      </w:pPr>
      <w:r>
        <w:rPr>
          <w:b/>
          <w:spacing w:val="60"/>
          <w:sz w:val="84"/>
          <w:szCs w:val="84"/>
        </w:rPr>
      </w:r>
      <w:r/>
    </w:p>
    <w:p>
      <w:pPr>
        <w:pStyle w:val="729"/>
        <w:jc w:val="center"/>
        <w:rPr>
          <w:b/>
          <w:spacing w:val="60"/>
          <w:sz w:val="84"/>
          <w:szCs w:val="84"/>
        </w:rPr>
      </w:pPr>
      <w:r>
        <w:rPr>
          <w:b/>
          <w:spacing w:val="60"/>
          <w:sz w:val="84"/>
          <w:szCs w:val="84"/>
        </w:rPr>
        <w:t xml:space="preserve">投 标 文 件</w:t>
      </w:r>
      <w:r/>
    </w:p>
    <w:p>
      <w:pPr>
        <w:pStyle w:val="729"/>
        <w:ind w:firstLine="963"/>
        <w:rPr>
          <w:rFonts w:hint="eastAsia"/>
          <w:b/>
          <w:spacing w:val="60"/>
          <w:sz w:val="52"/>
          <w:szCs w:val="52"/>
        </w:rPr>
      </w:pPr>
      <w:r>
        <w:rPr>
          <w:rFonts w:hint="eastAsia"/>
          <w:b/>
          <w:spacing w:val="60"/>
          <w:sz w:val="52"/>
          <w:szCs w:val="52"/>
        </w:rPr>
      </w:r>
      <w:r/>
    </w:p>
    <w:p>
      <w:pPr>
        <w:pStyle w:val="729"/>
        <w:ind w:firstLine="963"/>
        <w:rPr>
          <w:b/>
          <w:spacing w:val="60"/>
          <w:sz w:val="52"/>
          <w:szCs w:val="52"/>
        </w:rPr>
      </w:pPr>
      <w:r>
        <w:rPr>
          <w:b/>
          <w:spacing w:val="60"/>
          <w:sz w:val="52"/>
          <w:szCs w:val="52"/>
        </w:rPr>
      </w:r>
      <w:r/>
    </w:p>
    <w:p>
      <w:pPr>
        <w:pStyle w:val="807"/>
      </w:pPr>
      <w:r/>
      <w:r/>
    </w:p>
    <w:p>
      <w:pPr>
        <w:pStyle w:val="807"/>
      </w:pPr>
      <w:r/>
      <w:r/>
    </w:p>
    <w:p>
      <w:pPr>
        <w:pStyle w:val="807"/>
      </w:pPr>
      <w:r/>
      <w:r/>
    </w:p>
    <w:p>
      <w:pPr>
        <w:pStyle w:val="729"/>
        <w:ind w:firstLine="542"/>
        <w:rPr>
          <w:b/>
          <w:spacing w:val="20"/>
          <w:sz w:val="32"/>
          <w:szCs w:val="32"/>
        </w:rPr>
      </w:pPr>
      <w:r>
        <w:rPr>
          <w:b/>
          <w:spacing w:val="20"/>
          <w:sz w:val="32"/>
          <w:szCs w:val="32"/>
        </w:rPr>
      </w:r>
      <w:r/>
    </w:p>
    <w:p>
      <w:pPr>
        <w:pStyle w:val="729"/>
        <w:ind w:firstLine="542"/>
        <w:rPr>
          <w:b/>
          <w:spacing w:val="20"/>
          <w:sz w:val="32"/>
          <w:szCs w:val="32"/>
        </w:rPr>
      </w:pPr>
      <w:r>
        <w:rPr>
          <w:b/>
          <w:spacing w:val="20"/>
          <w:sz w:val="32"/>
          <w:szCs w:val="32"/>
        </w:rPr>
      </w:r>
      <w:r/>
    </w:p>
    <w:p>
      <w:pPr>
        <w:pStyle w:val="729"/>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729"/>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w:t>
      </w:r>
      <w:r>
        <w:rPr>
          <w:rFonts w:hint="eastAsia" w:ascii="宋体" w:hAnsi="宋体"/>
          <w:b/>
          <w:sz w:val="36"/>
          <w:u w:val="single"/>
        </w:rPr>
        <w:t xml:space="preserve">包号</w:t>
      </w:r>
      <w:r>
        <w:rPr>
          <w:rFonts w:hint="eastAsia" w:ascii="宋体" w:hAnsi="宋体"/>
          <w:b/>
          <w:sz w:val="36"/>
          <w:u w:val="single"/>
        </w:rPr>
        <w:t xml:space="preserve">：</w:t>
      </w:r>
      <w:r>
        <w:rPr>
          <w:rFonts w:hint="eastAsia" w:ascii="宋体" w:hAnsi="宋体"/>
          <w:b/>
          <w:sz w:val="36"/>
          <w:u w:val="single"/>
        </w:rPr>
        <w:t xml:space="preserve">  </w:t>
      </w:r>
      <w:r>
        <w:rPr>
          <w:rFonts w:hint="eastAsia" w:ascii="宋体" w:hAnsi="宋体"/>
          <w:b/>
          <w:sz w:val="36"/>
          <w:u w:val="single"/>
        </w:rPr>
        <w:t xml:space="preserve">)</w:t>
      </w:r>
      <w:r>
        <w:rPr>
          <w:rFonts w:hint="eastAsia" w:ascii="宋体" w:hAnsi="宋体"/>
          <w:b/>
          <w:sz w:val="36"/>
          <w:u w:val="single"/>
        </w:rPr>
      </w:r>
      <w:r/>
    </w:p>
    <w:p>
      <w:pPr>
        <w:pStyle w:val="729"/>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t xml:space="preserve">   </w:t>
      </w:r>
      <w:r>
        <w:rPr>
          <w:rFonts w:hint="eastAsia" w:ascii="宋体" w:hAnsi="宋体"/>
          <w:b/>
          <w:sz w:val="36"/>
          <w:u w:val="single"/>
        </w:rPr>
      </w:r>
      <w:r/>
    </w:p>
    <w:p>
      <w:pPr>
        <w:pStyle w:val="729"/>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729"/>
        <w:jc w:val="center"/>
        <w:rPr>
          <w:b/>
          <w:sz w:val="32"/>
          <w:szCs w:val="32"/>
        </w:rPr>
      </w:pPr>
      <w:r>
        <w:rPr>
          <w:b/>
          <w:sz w:val="32"/>
          <w:szCs w:val="32"/>
        </w:rPr>
      </w:r>
      <w:r/>
    </w:p>
    <w:p>
      <w:pPr>
        <w:pStyle w:val="729"/>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w:t>
      </w:r>
      <w:bookmarkStart w:id="304" w:name="_Hlk177969060"/>
      <w:r>
        <w:rPr>
          <w:rFonts w:hint="eastAsia"/>
          <w:b/>
          <w:spacing w:val="20"/>
          <w:sz w:val="32"/>
          <w:szCs w:val="32"/>
        </w:rPr>
        <w:t xml:space="preserve">开标</w:t>
      </w:r>
      <w:r>
        <w:rPr>
          <w:b/>
          <w:spacing w:val="20"/>
          <w:sz w:val="32"/>
          <w:szCs w:val="32"/>
        </w:rPr>
        <w:t xml:space="preserve">一览表</w:t>
      </w:r>
      <w:bookmarkEnd w:id="304"/>
      <w:r>
        <w:rPr>
          <w:b/>
          <w:spacing w:val="20"/>
          <w:sz w:val="32"/>
          <w:szCs w:val="32"/>
        </w:rPr>
        <w:t xml:space="preserve">（实质性格式）</w:t>
      </w:r>
      <w:r>
        <w:rPr>
          <w:rFonts w:hint="eastAsia"/>
          <w:b/>
          <w:spacing w:val="20"/>
          <w:sz w:val="32"/>
          <w:szCs w:val="32"/>
        </w:rPr>
      </w:r>
      <w:r/>
    </w:p>
    <w:p>
      <w:pPr>
        <w:pStyle w:val="761"/>
        <w:ind w:firstLine="482"/>
        <w:spacing w:line="360" w:lineRule="auto"/>
        <w:rPr>
          <w:rFonts w:hint="eastAsia"/>
          <w:b/>
          <w:color w:val="ff0000"/>
        </w:rPr>
      </w:pPr>
      <w:r>
        <w:rPr>
          <w:rFonts w:hint="eastAsia"/>
          <w:b/>
          <w:color w:val="ff0000"/>
        </w:rPr>
        <w:t xml:space="preserve">（一）投标人在提交投标文件时，应按照投标工具（苏采云客户端）的提示流程编制提交开标一览表，开标一览表格式以投标工具中的为准。</w:t>
      </w:r>
      <w:r/>
    </w:p>
    <w:p>
      <w:pPr>
        <w:pStyle w:val="729"/>
        <w:jc w:val="center"/>
        <w:keepLines/>
        <w:keepNext/>
        <w:spacing w:after="120" w:line="360" w:lineRule="auto"/>
        <w:widowControl/>
        <w:rPr>
          <w:b/>
          <w:spacing w:val="20"/>
          <w:sz w:val="32"/>
          <w:szCs w:val="32"/>
        </w:rPr>
        <w:outlineLvl w:val="0"/>
      </w:pPr>
      <w:r>
        <w:rPr>
          <w:rFonts w:hint="eastAsia"/>
          <w:b/>
          <w:spacing w:val="20"/>
          <w:sz w:val="32"/>
          <w:szCs w:val="32"/>
        </w:rPr>
        <w:t xml:space="preserve">三、</w:t>
      </w:r>
      <w:bookmarkStart w:id="305" w:name="_Hlk177969041"/>
      <w:r>
        <w:rPr>
          <w:rFonts w:hint="eastAsia"/>
          <w:b/>
          <w:spacing w:val="20"/>
          <w:sz w:val="32"/>
          <w:szCs w:val="32"/>
        </w:rPr>
        <w:t xml:space="preserve">报价明细表</w:t>
      </w:r>
      <w:bookmarkEnd w:id="305"/>
      <w:r>
        <w:rPr>
          <w:b/>
          <w:spacing w:val="20"/>
          <w:sz w:val="32"/>
          <w:szCs w:val="32"/>
        </w:rPr>
        <w:t xml:space="preserve">（实质性格式）</w:t>
      </w:r>
      <w:r/>
    </w:p>
    <w:p>
      <w:pPr>
        <w:pStyle w:val="729"/>
        <w:tabs>
          <w:tab w:val="left" w:pos="1800" w:leader="none"/>
          <w:tab w:val="left" w:pos="5580" w:leader="none"/>
        </w:tabs>
        <w:rPr>
          <w:color w:val="000000"/>
          <w:sz w:val="24"/>
        </w:rPr>
      </w:pPr>
      <w:r/>
      <w:bookmarkStart w:id="306" w:name="_Hlk149905522"/>
      <w:r>
        <w:rPr>
          <w:color w:val="000000"/>
          <w:sz w:val="24"/>
        </w:rPr>
        <w:t xml:space="preserve">项目编号：___________</w:t>
      </w:r>
      <w:r>
        <w:rPr>
          <w:rFonts w:hint="eastAsia"/>
          <w:color w:val="000000"/>
          <w:sz w:val="24"/>
        </w:rPr>
        <w:t xml:space="preserve">（</w:t>
      </w:r>
      <w:r>
        <w:rPr>
          <w:rFonts w:hint="eastAsia"/>
          <w:color w:val="000000"/>
          <w:sz w:val="24"/>
          <w:u w:val="single"/>
        </w:rPr>
        <w:t xml:space="preserve">  </w:t>
      </w:r>
      <w:r>
        <w:rPr>
          <w:rFonts w:hint="eastAsia"/>
          <w:color w:val="000000"/>
          <w:sz w:val="24"/>
        </w:rPr>
        <w:t xml:space="preserve">包）</w:t>
      </w:r>
      <w:r>
        <w:rPr>
          <w:color w:val="000000"/>
          <w:sz w:val="24"/>
        </w:rPr>
        <w:t xml:space="preserve"> </w:t>
      </w:r>
      <w:r/>
    </w:p>
    <w:p>
      <w:pPr>
        <w:pStyle w:val="729"/>
        <w:tabs>
          <w:tab w:val="left" w:pos="1800" w:leader="none"/>
          <w:tab w:val="left" w:pos="5580" w:leader="none"/>
        </w:tabs>
        <w:rPr>
          <w:rFonts w:hint="eastAsia"/>
          <w:color w:val="000000"/>
          <w:sz w:val="24"/>
        </w:rPr>
      </w:pPr>
      <w:r>
        <w:rPr>
          <w:color w:val="000000"/>
          <w:sz w:val="24"/>
        </w:rPr>
        <w:t xml:space="preserve">项目名称：</w:t>
      </w:r>
      <w:r>
        <w:rPr>
          <w:rFonts w:hint="eastAsia"/>
          <w:color w:val="000000"/>
          <w:sz w:val="24"/>
          <w:u w:val="single"/>
        </w:rPr>
        <w:t xml:space="preserve">武进区2025年应急生活物资和地震地质灾害物资采购  包</w:t>
      </w:r>
      <w:r>
        <w:rPr>
          <w:rFonts w:hint="eastAsia"/>
          <w:color w:val="000000"/>
          <w:sz w:val="24"/>
        </w:rPr>
        <w:t xml:space="preserve">          </w:t>
      </w:r>
      <w:r>
        <w:rPr>
          <w:color w:val="000000"/>
          <w:sz w:val="24"/>
        </w:rPr>
        <w:t xml:space="preserve">报价单位：人民币元</w:t>
      </w:r>
      <w:r>
        <w:rPr>
          <w:rFonts w:hint="eastAsia"/>
          <w:color w:val="000000"/>
          <w:sz w:val="24"/>
        </w:rPr>
        <w:t xml:space="preserve">   </w:t>
      </w:r>
      <w:r/>
    </w:p>
    <w:tbl>
      <w:tblPr>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1273"/>
        <w:gridCol w:w="1571"/>
        <w:gridCol w:w="850"/>
        <w:gridCol w:w="850"/>
        <w:gridCol w:w="851"/>
        <w:gridCol w:w="996"/>
        <w:gridCol w:w="1020"/>
        <w:gridCol w:w="851"/>
      </w:tblGrid>
      <w:tr>
        <w:trPr>
          <w:cantSplit/>
          <w:trHeight w:val="865"/>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序号</w:t>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名称</w:t>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规格</w:t>
            </w:r>
            <w:r>
              <w:rPr>
                <w:rFonts w:ascii="宋体" w:hAnsi="宋体"/>
                <w:sz w:val="24"/>
              </w:rPr>
              <w:t xml:space="preserve">\</w:t>
            </w:r>
            <w:r>
              <w:rPr>
                <w:rFonts w:hint="eastAsia" w:ascii="宋体" w:hAnsi="宋体"/>
                <w:sz w:val="24"/>
              </w:rPr>
              <w:t xml:space="preserve">型号</w:t>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技术参数</w:t>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数量</w:t>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单位</w:t>
            </w:r>
            <w:r/>
          </w:p>
        </w:tc>
        <w:tc>
          <w:tcPr>
            <w:tcW w:w="996"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品牌/产地</w:t>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单价</w:t>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合价</w:t>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1</w:t>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2</w:t>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3</w:t>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273"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654"/>
        </w:trPr>
        <w:tc>
          <w:tcPr>
            <w:tcW w:w="947" w:type="dxa"/>
            <w:vAlign w:val="center"/>
            <w:textDirection w:val="lrTb"/>
            <w:noWrap w:val="false"/>
          </w:tcPr>
          <w:p>
            <w:pPr>
              <w:pStyle w:val="729"/>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73" w:type="dxa"/>
            <w:vAlign w:val="center"/>
            <w:textDirection w:val="lrTb"/>
            <w:noWrap w:val="false"/>
          </w:tcPr>
          <w:p>
            <w:pPr>
              <w:pStyle w:val="729"/>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57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996" w:type="dxa"/>
            <w:vAlign w:val="top"/>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1020"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c>
          <w:tcPr>
            <w:tcW w:w="851" w:type="dxa"/>
            <w:vAlign w:val="center"/>
            <w:textDirection w:val="lrTb"/>
            <w:noWrap w:val="false"/>
          </w:tcPr>
          <w:p>
            <w:pPr>
              <w:pStyle w:val="729"/>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7"/>
            <w:tcW w:w="7338" w:type="dxa"/>
            <w:vAlign w:val="top"/>
            <w:vMerge w:val="restart"/>
            <w:textDirection w:val="lrTb"/>
            <w:noWrap w:val="false"/>
          </w:tcPr>
          <w:p>
            <w:pPr>
              <w:pStyle w:val="729"/>
              <w:jc w:val="center"/>
              <w:spacing w:line="0" w:lineRule="atLeast"/>
              <w:rPr>
                <w:rFonts w:hint="eastAsia" w:ascii="宋体" w:hAnsi="宋体"/>
                <w:sz w:val="24"/>
              </w:rPr>
            </w:pPr>
            <w:r>
              <w:rPr>
                <w:rFonts w:hint="eastAsia" w:ascii="宋体" w:hAnsi="宋体"/>
                <w:sz w:val="24"/>
              </w:rPr>
              <w:t xml:space="preserve">投标总报价（人民币：元）</w:t>
            </w:r>
            <w:r/>
          </w:p>
        </w:tc>
        <w:tc>
          <w:tcPr>
            <w:gridSpan w:val="2"/>
            <w:tcW w:w="1871" w:type="dxa"/>
            <w:vAlign w:val="center"/>
            <w:textDirection w:val="lrTb"/>
            <w:noWrap w:val="false"/>
          </w:tcPr>
          <w:p>
            <w:pPr>
              <w:pStyle w:val="729"/>
              <w:spacing w:line="0" w:lineRule="atLeast"/>
              <w:rPr>
                <w:rFonts w:hint="eastAsia" w:ascii="宋体" w:hAnsi="宋体"/>
                <w:sz w:val="24"/>
              </w:rPr>
            </w:pPr>
            <w:r>
              <w:rPr>
                <w:rFonts w:hint="eastAsia" w:ascii="宋体" w:hAnsi="宋体"/>
                <w:sz w:val="24"/>
              </w:rPr>
              <w:t xml:space="preserve">大写：</w:t>
            </w:r>
            <w:r/>
          </w:p>
        </w:tc>
      </w:tr>
      <w:tr>
        <w:trPr>
          <w:cantSplit/>
          <w:trHeight w:val="487"/>
        </w:trPr>
        <w:tc>
          <w:tcPr>
            <w:gridSpan w:val="7"/>
            <w:tcW w:w="850" w:type="dxa"/>
            <w:vAlign w:val="top"/>
            <w:vMerge w:val="continue"/>
            <w:textDirection w:val="lrTb"/>
            <w:noWrap w:val="false"/>
          </w:tcPr>
          <w:p>
            <w:pPr>
              <w:pStyle w:val="729"/>
            </w:pPr>
            <w:r/>
            <w:r/>
          </w:p>
        </w:tc>
        <w:tc>
          <w:tcPr>
            <w:gridSpan w:val="2"/>
            <w:tcW w:w="1871" w:type="dxa"/>
            <w:vAlign w:val="top"/>
            <w:textDirection w:val="lrTb"/>
            <w:noWrap w:val="false"/>
          </w:tcPr>
          <w:p>
            <w:pPr>
              <w:pStyle w:val="729"/>
              <w:spacing w:line="0" w:lineRule="atLeast"/>
              <w:rPr>
                <w:rFonts w:hint="eastAsia" w:ascii="宋体" w:hAnsi="宋体"/>
                <w:sz w:val="24"/>
              </w:rPr>
            </w:pPr>
            <w:r>
              <w:rPr>
                <w:rFonts w:hint="eastAsia" w:ascii="宋体" w:hAnsi="宋体"/>
                <w:sz w:val="24"/>
              </w:rPr>
              <w:t xml:space="preserve">小写：</w:t>
            </w:r>
            <w:r/>
          </w:p>
        </w:tc>
      </w:tr>
    </w:tbl>
    <w:p>
      <w:pPr>
        <w:pStyle w:val="729"/>
        <w:ind w:firstLine="480"/>
        <w:tabs>
          <w:tab w:val="left" w:pos="1800" w:leader="none"/>
          <w:tab w:val="left" w:pos="5580" w:leader="none"/>
        </w:tabs>
        <w:rPr>
          <w:color w:val="000000"/>
          <w:sz w:val="24"/>
        </w:rPr>
      </w:pPr>
      <w:r>
        <w:rPr>
          <w:color w:val="000000"/>
          <w:sz w:val="24"/>
        </w:rPr>
      </w:r>
      <w:r/>
    </w:p>
    <w:p>
      <w:pPr>
        <w:pStyle w:val="729"/>
        <w:ind w:firstLine="720"/>
        <w:jc w:val="left"/>
        <w:spacing w:line="360" w:lineRule="auto"/>
        <w:tabs>
          <w:tab w:val="left" w:pos="1800" w:leader="none"/>
          <w:tab w:val="left" w:pos="5580" w:leader="none"/>
        </w:tabs>
        <w:rPr>
          <w:rFonts w:ascii="宋体" w:hAnsi="宋体" w:cs="楷体"/>
          <w:color w:val="ff0000"/>
          <w:sz w:val="24"/>
        </w:rPr>
      </w:pPr>
      <w:r>
        <w:rPr>
          <w:rFonts w:ascii="宋体" w:hAnsi="宋体" w:cs="楷体"/>
          <w:color w:val="ff0000"/>
          <w:sz w:val="24"/>
        </w:rPr>
        <w:t xml:space="preserve">注：</w:t>
      </w:r>
      <w:r>
        <w:rPr>
          <w:rFonts w:hint="eastAsia" w:ascii="宋体" w:hAnsi="宋体" w:cs="楷体"/>
          <w:color w:val="ff0000"/>
          <w:sz w:val="24"/>
        </w:rPr>
        <w:t xml:space="preserve">1、</w:t>
      </w:r>
      <w:r>
        <w:rPr>
          <w:rFonts w:ascii="宋体" w:hAnsi="宋体" w:cs="楷体"/>
          <w:color w:val="ff0000"/>
          <w:sz w:val="24"/>
        </w:rPr>
        <w:t xml:space="preserve">如果不提供</w:t>
      </w:r>
      <w:r>
        <w:rPr>
          <w:rFonts w:hint="eastAsia" w:ascii="宋体" w:hAnsi="宋体" w:cs="楷体"/>
          <w:color w:val="ff0000"/>
          <w:sz w:val="24"/>
        </w:rPr>
        <w:t xml:space="preserve">明细</w:t>
      </w:r>
      <w:r>
        <w:rPr>
          <w:rFonts w:ascii="宋体" w:hAnsi="宋体" w:cs="楷体"/>
          <w:color w:val="ff0000"/>
          <w:sz w:val="24"/>
        </w:rPr>
        <w:t xml:space="preserve">报价将视为没有实质性响应</w:t>
      </w:r>
      <w:r>
        <w:rPr>
          <w:rFonts w:hint="eastAsia" w:ascii="宋体" w:hAnsi="宋体" w:cs="楷体"/>
          <w:color w:val="ff0000"/>
          <w:sz w:val="24"/>
        </w:rPr>
        <w:t xml:space="preserve">招标</w:t>
      </w:r>
      <w:r>
        <w:rPr>
          <w:rFonts w:ascii="宋体" w:hAnsi="宋体" w:cs="楷体"/>
          <w:color w:val="ff0000"/>
          <w:sz w:val="24"/>
        </w:rPr>
        <w:t xml:space="preserve">文件。</w:t>
      </w:r>
      <w:bookmarkEnd w:id="306"/>
      <w:r>
        <w:rPr>
          <w:rFonts w:ascii="宋体" w:hAnsi="宋体" w:cs="楷体"/>
          <w:color w:val="ff0000"/>
          <w:sz w:val="24"/>
        </w:rPr>
      </w:r>
      <w:r/>
    </w:p>
    <w:p>
      <w:pPr>
        <w:pStyle w:val="729"/>
        <w:ind w:firstLine="720"/>
        <w:jc w:val="left"/>
        <w:spacing w:line="360" w:lineRule="auto"/>
        <w:tabs>
          <w:tab w:val="left" w:pos="1800" w:leader="none"/>
          <w:tab w:val="left" w:pos="5580" w:leader="none"/>
        </w:tabs>
        <w:rPr>
          <w:rFonts w:hint="eastAsia" w:ascii="宋体" w:hAnsi="宋体" w:cs="楷体"/>
          <w:color w:val="ff0000"/>
          <w:sz w:val="24"/>
        </w:rPr>
      </w:pPr>
      <w:r>
        <w:rPr>
          <w:rFonts w:hint="eastAsia" w:ascii="宋体" w:hAnsi="宋体" w:cs="楷体"/>
          <w:color w:val="ff0000"/>
          <w:sz w:val="24"/>
        </w:rPr>
      </w:r>
      <w:r/>
    </w:p>
    <w:p>
      <w:pPr>
        <w:pStyle w:val="729"/>
        <w:ind w:firstLine="3840"/>
        <w:spacing w:line="400" w:lineRule="exact"/>
        <w:rPr>
          <w:rFonts w:hint="eastAsia" w:ascii="宋体" w:hAnsi="宋体"/>
          <w:bCs/>
          <w:color w:val="ff0000"/>
          <w:sz w:val="24"/>
        </w:rPr>
      </w:pPr>
      <w:r>
        <w:rPr>
          <w:rFonts w:hint="eastAsia" w:ascii="宋体" w:hAnsi="宋体"/>
          <w:bCs/>
          <w:color w:val="ff0000"/>
          <w:sz w:val="24"/>
        </w:rPr>
        <w:t xml:space="preserve">（投标单位名称：</w:t>
      </w:r>
      <w:r>
        <w:rPr>
          <w:rFonts w:hint="eastAsia" w:ascii="宋体" w:hAnsi="宋体" w:cs="楷体"/>
          <w:color w:val="ff0000"/>
          <w:sz w:val="24"/>
        </w:rPr>
        <w:t xml:space="preserve">（加盖CA电子公章） </w:t>
      </w:r>
      <w:r>
        <w:rPr>
          <w:rFonts w:hint="eastAsia" w:ascii="宋体" w:hAnsi="宋体"/>
          <w:bCs/>
          <w:color w:val="ff0000"/>
          <w:sz w:val="24"/>
        </w:rPr>
        <w:t xml:space="preserve">  </w:t>
      </w:r>
      <w:r/>
    </w:p>
    <w:p>
      <w:pPr>
        <w:pStyle w:val="729"/>
        <w:jc w:val="center"/>
        <w:spacing w:line="400" w:lineRule="exact"/>
        <w:rPr>
          <w:rFonts w:hint="eastAsia" w:ascii="宋体" w:hAnsi="宋体"/>
          <w:color w:val="ff0000"/>
          <w:sz w:val="24"/>
        </w:rPr>
      </w:pPr>
      <w:r>
        <w:rPr>
          <w:rFonts w:hint="eastAsia" w:ascii="宋体" w:hAnsi="宋体"/>
          <w:color w:val="ff0000"/>
          <w:sz w:val="24"/>
        </w:rPr>
        <w:t xml:space="preserve">     </w:t>
      </w:r>
      <w:r>
        <w:rPr>
          <w:rFonts w:ascii="宋体" w:hAnsi="宋体"/>
          <w:color w:val="ff0000"/>
          <w:sz w:val="24"/>
        </w:rPr>
        <w:t xml:space="preserve">                 </w:t>
      </w:r>
      <w:r>
        <w:rPr>
          <w:rFonts w:hint="eastAsia" w:ascii="宋体" w:hAnsi="宋体"/>
          <w:color w:val="ff0000"/>
          <w:sz w:val="24"/>
        </w:rPr>
        <w:t xml:space="preserve"> 日期：     年    月    日</w:t>
      </w:r>
      <w:r/>
    </w:p>
    <w:p>
      <w:pPr>
        <w:pStyle w:val="807"/>
        <w:sectPr>
          <w:footnotePr/>
          <w:endnotePr/>
          <w:type w:val="nextPage"/>
          <w:pgSz w:w="11906" w:h="16838" w:orient="portrait"/>
          <w:pgMar w:top="1134" w:right="1134" w:bottom="1276" w:left="1134" w:header="851" w:footer="851" w:gutter="0"/>
          <w:cols w:num="1" w:sep="0" w:space="720" w:equalWidth="1"/>
          <w:docGrid w:linePitch="360"/>
        </w:sectPr>
      </w:pPr>
      <w:r/>
      <w:r/>
    </w:p>
    <w:p>
      <w:pPr>
        <w:pStyle w:val="731"/>
        <w:ind w:firstLine="1806"/>
        <w:jc w:val="both"/>
        <w:rPr>
          <w:rFonts w:hint="eastAsia"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hAnsi="Times New Roman" w:eastAsia="宋体"/>
          <w:spacing w:val="20"/>
          <w:sz w:val="32"/>
          <w:szCs w:val="32"/>
        </w:rPr>
        <w:t xml:space="preserve">（实质性格式）</w:t>
      </w:r>
      <w:r>
        <w:rPr>
          <w:rFonts w:hint="eastAsia" w:ascii="Times New Roman" w:hAnsi="Times New Roman" w:eastAsia="宋体"/>
          <w:spacing w:val="20"/>
          <w:sz w:val="32"/>
          <w:szCs w:val="32"/>
        </w:rPr>
      </w:r>
      <w:r/>
    </w:p>
    <w:p>
      <w:pPr>
        <w:pStyle w:val="744"/>
        <w:rPr>
          <w:rFonts w:hint="eastAsia"/>
        </w:rPr>
      </w:pPr>
      <w:r>
        <w:rPr>
          <w:rFonts w:hint="eastAsia"/>
        </w:rPr>
      </w:r>
      <w:r/>
    </w:p>
    <w:p>
      <w:pPr>
        <w:pStyle w:val="731"/>
        <w:jc w:val="left"/>
        <w:spacing w:before="0" w:line="360" w:lineRule="auto"/>
        <w:tabs>
          <w:tab w:val="center" w:pos="4592" w:leader="none"/>
          <w:tab w:val="left" w:pos="7860" w:leader="none"/>
        </w:tabs>
        <w:rPr>
          <w:rFonts w:ascii="宋体" w:hAnsi="宋体" w:cs="楷体"/>
          <w:b w:val="0"/>
          <w:color w:val="ff0000"/>
          <w:sz w:val="24"/>
        </w:rPr>
      </w:pPr>
      <w:r>
        <w:rPr>
          <w:rFonts w:hint="eastAsia"/>
          <w:b w:val="0"/>
          <w:sz w:val="24"/>
          <w:u w:val="single"/>
        </w:rPr>
        <w:t xml:space="preserve">注意事项：</w:t>
      </w:r>
      <w:bookmarkStart w:id="307"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w:t>
      </w:r>
      <w:r>
        <w:rPr>
          <w:rFonts w:hint="eastAsia" w:ascii="宋体" w:hAnsi="宋体" w:cs="楷体"/>
          <w:b w:val="0"/>
          <w:color w:val="ff0000"/>
          <w:sz w:val="24"/>
        </w:rPr>
        <w:t xml:space="preserve">                       </w:t>
      </w:r>
      <w:r>
        <w:rPr>
          <w:rFonts w:ascii="宋体" w:hAnsi="宋体" w:cs="楷体"/>
          <w:b w:val="0"/>
          <w:color w:val="ff0000"/>
          <w:sz w:val="24"/>
        </w:rPr>
      </w:r>
      <w:r/>
    </w:p>
    <w:p>
      <w:pPr>
        <w:pStyle w:val="729"/>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729"/>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w:t>
      </w:r>
      <w:r>
        <w:rPr>
          <w:rFonts w:hint="eastAsia" w:ascii="宋体" w:hAnsi="宋体" w:cs="楷体"/>
          <w:color w:val="000000"/>
          <w:sz w:val="24"/>
        </w:rPr>
        <w:t xml:space="preserve">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97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7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97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97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29"/>
        <w:ind w:firstLine="480"/>
        <w:spacing w:line="440" w:lineRule="exact"/>
        <w:rPr>
          <w:rFonts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ascii="宋体" w:hAnsi="宋体" w:cs="楷体"/>
          <w:color w:val="000000"/>
          <w:sz w:val="24"/>
        </w:rPr>
      </w:r>
      <w:r/>
    </w:p>
    <w:p>
      <w:pPr>
        <w:pStyle w:val="729"/>
        <w:ind w:firstLine="480"/>
        <w:spacing w:line="440" w:lineRule="exact"/>
        <w:rPr>
          <w:rFonts w:ascii="宋体" w:hAnsi="宋体" w:cs="楷体"/>
          <w:color w:val="000000"/>
          <w:sz w:val="24"/>
        </w:rPr>
      </w:pPr>
      <w:r>
        <w:rPr>
          <w:rFonts w:ascii="宋体" w:hAnsi="宋体" w:cs="楷体"/>
          <w:color w:val="000000"/>
          <w:sz w:val="24"/>
        </w:rPr>
      </w:r>
      <w:r/>
    </w:p>
    <w:p>
      <w:pPr>
        <w:pStyle w:val="729"/>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29"/>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729"/>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761"/>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979"/>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ascii="宋体" w:hAnsi="宋体" w:eastAsia="宋体" w:cs="楷体"/>
          <w:color w:val="000000"/>
          <w:sz w:val="24"/>
          <w:szCs w:val="24"/>
        </w:rPr>
      </w:r>
      <w:r/>
    </w:p>
    <w:p>
      <w:pPr>
        <w:pStyle w:val="979"/>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979"/>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979"/>
        <w:ind w:firstLine="400"/>
        <w:rPr>
          <w:rFonts w:hint="eastAsia"/>
          <w:color w:val="000000"/>
        </w:rPr>
      </w:pPr>
      <w:r>
        <w:rPr>
          <w:rFonts w:hint="eastAsia"/>
          <w:color w:val="000000"/>
        </w:rPr>
      </w:r>
      <w:r/>
    </w:p>
    <w:p>
      <w:pPr>
        <w:pStyle w:val="979"/>
        <w:ind w:firstLine="0"/>
        <w:rPr>
          <w:rFonts w:hint="eastAsia"/>
          <w:color w:val="000000"/>
        </w:rPr>
      </w:pPr>
      <w:r>
        <w:rPr>
          <w:rFonts w:hint="eastAsia"/>
          <w:color w:val="000000"/>
        </w:rPr>
      </w:r>
      <w:r/>
    </w:p>
    <w:p>
      <w:pPr>
        <w:pStyle w:val="807"/>
      </w:pPr>
      <w:r/>
      <w:r/>
    </w:p>
    <w:p>
      <w:pPr>
        <w:pStyle w:val="807"/>
        <w:rPr>
          <w:rFonts w:hint="eastAsia"/>
        </w:rPr>
      </w:pPr>
      <w:r>
        <w:rPr>
          <w:rFonts w:hint="eastAsia"/>
        </w:rPr>
      </w:r>
      <w:r/>
    </w:p>
    <w:p>
      <w:pPr>
        <w:pStyle w:val="807"/>
      </w:pPr>
      <w:r/>
      <w:r/>
    </w:p>
    <w:p>
      <w:pPr>
        <w:pStyle w:val="807"/>
      </w:pPr>
      <w:r/>
      <w:r/>
    </w:p>
    <w:p>
      <w:pPr>
        <w:pStyle w:val="729"/>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729"/>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729"/>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729"/>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29"/>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29"/>
        <w:ind w:firstLine="504"/>
        <w:spacing w:line="588" w:lineRule="exact"/>
        <w:rPr>
          <w:rFonts w:ascii="宋体" w:hAnsi="宋体"/>
          <w:spacing w:val="6"/>
          <w:sz w:val="24"/>
        </w:rPr>
      </w:pPr>
      <w:r>
        <w:rPr>
          <w:rFonts w:ascii="宋体" w:hAnsi="宋体"/>
          <w:spacing w:val="6"/>
          <w:sz w:val="24"/>
        </w:rPr>
      </w:r>
      <w:r/>
    </w:p>
    <w:p>
      <w:pPr>
        <w:pStyle w:val="729"/>
        <w:ind w:firstLine="504"/>
        <w:spacing w:line="588" w:lineRule="exact"/>
        <w:rPr>
          <w:rFonts w:ascii="宋体" w:hAnsi="宋体"/>
          <w:spacing w:val="6"/>
          <w:sz w:val="24"/>
        </w:rPr>
      </w:pPr>
      <w:r>
        <w:rPr>
          <w:rFonts w:ascii="宋体" w:hAnsi="宋体"/>
          <w:spacing w:val="6"/>
          <w:sz w:val="24"/>
        </w:rPr>
      </w:r>
      <w:r/>
    </w:p>
    <w:p>
      <w:pPr>
        <w:pStyle w:val="729"/>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29"/>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134" w:right="1134" w:bottom="1276" w:left="1134"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pStyle w:val="729"/>
        <w:ind w:firstLine="2890"/>
        <w:spacing w:line="400" w:lineRule="exact"/>
        <w:rPr>
          <w:b/>
          <w:spacing w:val="20"/>
          <w:sz w:val="32"/>
          <w:szCs w:val="32"/>
        </w:rPr>
        <w:outlineLvl w:val="1"/>
      </w:pPr>
      <w:r/>
      <w:bookmarkEnd w:id="307"/>
      <w:r/>
      <w:bookmarkStart w:id="308" w:name="_Toc29116"/>
      <w:r/>
      <w:bookmarkEnd w:id="308"/>
      <w:r/>
      <w:bookmarkStart w:id="309" w:name="_Toc425"/>
      <w:r/>
      <w:bookmarkEnd w:id="309"/>
      <w:r/>
      <w:bookmarkStart w:id="310" w:name="_Toc30417"/>
      <w:r/>
      <w:bookmarkEnd w:id="310"/>
      <w:r/>
      <w:bookmarkStart w:id="311" w:name="_Toc373054875"/>
      <w:r/>
      <w:bookmarkEnd w:id="311"/>
      <w:r>
        <w:rPr>
          <w:rFonts w:hint="eastAsia"/>
          <w:b/>
          <w:spacing w:val="20"/>
          <w:sz w:val="32"/>
          <w:szCs w:val="32"/>
        </w:rPr>
        <w:t xml:space="preserve">六、项目实施方案 </w:t>
      </w:r>
      <w:r>
        <w:rPr>
          <w:b/>
          <w:spacing w:val="20"/>
          <w:sz w:val="32"/>
          <w:szCs w:val="32"/>
        </w:rPr>
      </w:r>
      <w:r/>
    </w:p>
    <w:p>
      <w:pPr>
        <w:pStyle w:val="761"/>
        <w:rPr>
          <w:rFonts w:hint="eastAsia" w:ascii="Times New Roman" w:hAnsi="Times New Roman"/>
          <w:sz w:val="20"/>
          <w:szCs w:val="20"/>
        </w:rPr>
      </w:pPr>
      <w:r>
        <w:rPr>
          <w:rFonts w:hint="eastAsia" w:ascii="Times New Roman" w:hAnsi="Times New Roman"/>
          <w:sz w:val="20"/>
          <w:szCs w:val="20"/>
        </w:rPr>
      </w:r>
      <w:r/>
    </w:p>
    <w:p>
      <w:pPr>
        <w:pStyle w:val="729"/>
        <w:ind w:firstLine="480"/>
        <w:spacing w:line="400" w:lineRule="exact"/>
        <w:rPr>
          <w:rFonts w:ascii="宋体" w:hAnsi="宋体" w:cs="宋体"/>
          <w:color w:val="000000"/>
          <w:sz w:val="24"/>
        </w:rPr>
      </w:pPr>
      <w:r>
        <w:rPr>
          <w:rFonts w:hint="eastAsia" w:ascii="宋体" w:hAnsi="宋体" w:cs="宋体"/>
          <w:color w:val="000000"/>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rPr>
      </w:r>
      <w:r/>
    </w:p>
    <w:p>
      <w:pPr>
        <w:pStyle w:val="729"/>
        <w:numPr>
          <w:ilvl w:val="1"/>
          <w:numId w:val="21"/>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29"/>
        <w:numPr>
          <w:ilvl w:val="1"/>
          <w:numId w:val="2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投标人应就人员配备、技术保证、项目质量、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729"/>
        <w:numPr>
          <w:ilvl w:val="1"/>
          <w:numId w:val="21"/>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29"/>
        <w:numPr>
          <w:ilvl w:val="1"/>
          <w:numId w:val="2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729"/>
        <w:numPr>
          <w:ilvl w:val="1"/>
          <w:numId w:val="2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729"/>
        <w:numPr>
          <w:ilvl w:val="1"/>
          <w:numId w:val="21"/>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投标人认为需要添加的内容</w:t>
      </w:r>
      <w:r/>
    </w:p>
    <w:p>
      <w:pPr>
        <w:pStyle w:val="729"/>
        <w:ind w:firstLine="480"/>
        <w:spacing w:line="400" w:lineRule="exact"/>
        <w:rPr>
          <w:rFonts w:ascii="宋体" w:hAnsi="宋体"/>
          <w:color w:val="000000"/>
          <w:sz w:val="24"/>
        </w:rPr>
      </w:pPr>
      <w:r>
        <w:rPr>
          <w:rFonts w:ascii="宋体" w:hAnsi="宋体"/>
          <w:color w:val="000000"/>
          <w:sz w:val="24"/>
        </w:rPr>
      </w:r>
      <w:r/>
    </w:p>
    <w:p>
      <w:pPr>
        <w:pStyle w:val="807"/>
      </w:pPr>
      <w:r/>
      <w:r/>
    </w:p>
    <w:p>
      <w:pPr>
        <w:pStyle w:val="729"/>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pStyle w:val="729"/>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p>
    <w:p>
      <w:pPr>
        <w:pStyle w:val="729"/>
        <w:jc w:val="center"/>
        <w:rPr>
          <w:rFonts w:hint="eastAsia" w:ascii="宋体" w:hAnsi="宋体"/>
          <w:color w:val="000000"/>
          <w:sz w:val="24"/>
          <w:szCs w:val="20"/>
        </w:rPr>
      </w:pPr>
      <w:r>
        <w:rPr>
          <w:rFonts w:hint="eastAsia" w:ascii="宋体" w:hAnsi="宋体"/>
          <w:color w:val="000000"/>
          <w:sz w:val="24"/>
          <w:szCs w:val="20"/>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ascii="楷体_GB2312" w:eastAsia="楷体_GB2312"/>
          <w:color w:val="000000"/>
          <w:sz w:val="24"/>
        </w:rPr>
      </w:pPr>
      <w:r>
        <w:rPr>
          <w:rFonts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jc w:val="center"/>
        <w:rPr>
          <w:rFonts w:hint="eastAsia" w:ascii="楷体_GB2312" w:eastAsia="楷体_GB2312"/>
          <w:color w:val="000000"/>
          <w:sz w:val="24"/>
        </w:rPr>
      </w:pPr>
      <w:r>
        <w:rPr>
          <w:rFonts w:hint="eastAsia" w:ascii="楷体_GB2312" w:eastAsia="楷体_GB2312"/>
          <w:color w:val="000000"/>
          <w:sz w:val="24"/>
        </w:rPr>
      </w:r>
      <w:r/>
    </w:p>
    <w:p>
      <w:pPr>
        <w:pStyle w:val="729"/>
        <w:spacing w:line="400" w:lineRule="exact"/>
        <w:rPr>
          <w:rFonts w:hint="eastAsia"/>
          <w:b/>
          <w:spacing w:val="20"/>
          <w:sz w:val="32"/>
          <w:szCs w:val="32"/>
        </w:rPr>
        <w:outlineLvl w:val="1"/>
      </w:pPr>
      <w:r>
        <w:rPr>
          <w:rFonts w:hint="eastAsia"/>
          <w:b/>
          <w:spacing w:val="20"/>
          <w:sz w:val="32"/>
          <w:szCs w:val="32"/>
        </w:rPr>
      </w:r>
      <w:r/>
    </w:p>
    <w:p>
      <w:pPr>
        <w:pStyle w:val="729"/>
        <w:ind w:firstLine="2529"/>
        <w:spacing w:line="400" w:lineRule="exact"/>
        <w:rPr>
          <w:rFonts w:hint="eastAsia"/>
          <w:b/>
          <w:spacing w:val="20"/>
          <w:sz w:val="32"/>
          <w:szCs w:val="32"/>
        </w:rPr>
        <w:outlineLvl w:val="1"/>
      </w:pPr>
      <w:r>
        <w:rPr>
          <w:rFonts w:hint="eastAsia"/>
          <w:b/>
          <w:spacing w:val="20"/>
          <w:sz w:val="32"/>
          <w:szCs w:val="32"/>
        </w:rPr>
        <w:t xml:space="preserve">七、基本服务承诺书 </w:t>
      </w:r>
      <w:r>
        <w:rPr>
          <w:b/>
          <w:spacing w:val="20"/>
          <w:sz w:val="32"/>
          <w:szCs w:val="32"/>
        </w:rPr>
        <w:t xml:space="preserve"> </w:t>
      </w:r>
      <w:r>
        <w:rPr>
          <w:rFonts w:hint="eastAsia"/>
          <w:b/>
          <w:spacing w:val="20"/>
          <w:sz w:val="32"/>
          <w:szCs w:val="32"/>
        </w:rPr>
      </w:r>
      <w:r/>
    </w:p>
    <w:p>
      <w:pPr>
        <w:pStyle w:val="729"/>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29"/>
        <w:numPr>
          <w:ilvl w:val="0"/>
          <w:numId w:val="22"/>
        </w:numPr>
        <w:ind w:firstLine="480"/>
        <w:spacing w:line="400" w:lineRule="exact"/>
        <w:rPr>
          <w:rFonts w:hint="eastAsia"/>
          <w:sz w:val="20"/>
          <w:szCs w:val="20"/>
        </w:rPr>
      </w:pPr>
      <w:r>
        <w:rPr>
          <w:rFonts w:hint="eastAsia" w:ascii="宋体" w:hAnsi="宋体"/>
          <w:bCs/>
          <w:color w:val="000000"/>
          <w:sz w:val="24"/>
        </w:rPr>
        <w:t xml:space="preserve">我单位确保按中标结果确定价格并及时提供货物或服务。</w:t>
      </w:r>
      <w:r>
        <w:rPr>
          <w:rFonts w:hint="eastAsia"/>
          <w:sz w:val="20"/>
          <w:szCs w:val="20"/>
        </w:rPr>
      </w:r>
      <w:r/>
    </w:p>
    <w:p>
      <w:pPr>
        <w:pStyle w:val="729"/>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29"/>
        <w:ind w:firstLine="600"/>
        <w:spacing w:line="400" w:lineRule="exact"/>
        <w:rPr>
          <w:rFonts w:ascii="宋体" w:hAnsi="宋体"/>
          <w:bCs/>
          <w:color w:val="000000"/>
          <w:sz w:val="24"/>
        </w:rPr>
      </w:pPr>
      <w:r>
        <w:rPr>
          <w:rFonts w:ascii="宋体" w:hAnsi="宋体"/>
          <w:bCs/>
          <w:color w:val="000000"/>
          <w:sz w:val="24"/>
        </w:rPr>
      </w:r>
      <w:r/>
    </w:p>
    <w:p>
      <w:pPr>
        <w:pStyle w:val="807"/>
      </w:pPr>
      <w:r/>
      <w:r/>
    </w:p>
    <w:p>
      <w:pPr>
        <w:pStyle w:val="729"/>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29"/>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29"/>
        <w:keepLines/>
        <w:keepNext/>
        <w:spacing w:after="240" w:line="360" w:lineRule="auto"/>
        <w:widowControl/>
        <w:rPr>
          <w:color w:val="000000"/>
        </w:rPr>
        <w:outlineLvl w:val="0"/>
      </w:pPr>
      <w:r>
        <w:rPr>
          <w:color w:val="000000"/>
        </w:r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rPr>
          <w:rFonts w:hint="eastAsia"/>
        </w:rPr>
      </w:pPr>
      <w:r>
        <w:rPr>
          <w:rFonts w:hint="eastAsia"/>
        </w:rPr>
      </w:r>
      <w:r/>
    </w:p>
    <w:p>
      <w:pPr>
        <w:pStyle w:val="807"/>
      </w:pPr>
      <w:r/>
      <w:r/>
    </w:p>
    <w:p>
      <w:pPr>
        <w:pStyle w:val="807"/>
      </w:pPr>
      <w:r/>
      <w:r/>
    </w:p>
    <w:p>
      <w:pPr>
        <w:pStyle w:val="807"/>
      </w:pPr>
      <w:r/>
      <w:r/>
    </w:p>
    <w:p>
      <w:pPr>
        <w:pStyle w:val="807"/>
      </w:pPr>
      <w:r/>
      <w:r/>
    </w:p>
    <w:p>
      <w:pPr>
        <w:pStyle w:val="729"/>
        <w:jc w:val="center"/>
        <w:spacing w:line="360" w:lineRule="auto"/>
        <w:rPr>
          <w:b/>
          <w:spacing w:val="20"/>
          <w:sz w:val="30"/>
          <w:szCs w:val="30"/>
        </w:rPr>
      </w:pPr>
      <w:r>
        <w:rPr>
          <w:b/>
          <w:spacing w:val="20"/>
          <w:sz w:val="30"/>
          <w:szCs w:val="30"/>
        </w:rPr>
      </w:r>
      <w:r/>
    </w:p>
    <w:p>
      <w:pPr>
        <w:pStyle w:val="729"/>
        <w:jc w:val="center"/>
        <w:spacing w:line="360" w:lineRule="auto"/>
        <w:rPr>
          <w:b/>
          <w:spacing w:val="20"/>
          <w:sz w:val="30"/>
          <w:szCs w:val="30"/>
        </w:rPr>
      </w:pPr>
      <w:r>
        <w:rPr>
          <w:rFonts w:hint="eastAsia"/>
          <w:b/>
          <w:spacing w:val="20"/>
          <w:sz w:val="30"/>
          <w:szCs w:val="30"/>
        </w:rPr>
        <w:t xml:space="preserve">八、法人授权书（如有，为实质性格式）</w:t>
      </w:r>
      <w:r>
        <w:rPr>
          <w:b/>
          <w:spacing w:val="20"/>
          <w:sz w:val="30"/>
          <w:szCs w:val="30"/>
        </w:rPr>
      </w:r>
      <w:r/>
    </w:p>
    <w:p>
      <w:pPr>
        <w:pStyle w:val="729"/>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29"/>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29"/>
        <w:ind w:firstLine="480"/>
        <w:spacing w:line="360" w:lineRule="auto"/>
        <w:tabs>
          <w:tab w:val="left" w:pos="360" w:leader="none"/>
        </w:tabs>
        <w:rPr>
          <w:sz w:val="24"/>
        </w:rPr>
      </w:pPr>
      <w:r>
        <w:rPr>
          <w:sz w:val="24"/>
        </w:rPr>
      </w:r>
      <w:r/>
    </w:p>
    <w:p>
      <w:pPr>
        <w:pStyle w:val="729"/>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t xml:space="preserve">                       </w:t>
      </w:r>
      <w:r/>
    </w:p>
    <w:p>
      <w:pPr>
        <w:pStyle w:val="729"/>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29"/>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29"/>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sz w:val="20"/>
          <w:szCs w:val="20"/>
        </w:rPr>
      </w:r>
      <w:r/>
    </w:p>
    <w:p>
      <w:pPr>
        <w:pStyle w:val="729"/>
        <w:ind w:firstLine="4080"/>
        <w:spacing w:line="360" w:lineRule="auto"/>
        <w:tabs>
          <w:tab w:val="left" w:pos="360" w:leader="none"/>
        </w:tabs>
        <w:rPr>
          <w:color w:val="ff0000"/>
          <w:sz w:val="24"/>
        </w:rPr>
      </w:pPr>
      <w:r>
        <w:rPr>
          <w:color w:val="ff0000"/>
          <w:sz w:val="24"/>
        </w:rPr>
      </w:r>
      <w:r/>
    </w:p>
    <w:p>
      <w:pPr>
        <w:pStyle w:val="729"/>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29"/>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pStyle w:val="729"/>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2" w:name="_Hlt26955070"/>
      <w:r/>
      <w:bookmarkEnd w:id="312"/>
      <w:r/>
      <w:bookmarkStart w:id="313" w:name="_格式3__银行出具的资信证明"/>
      <w:r/>
      <w:bookmarkEnd w:id="313"/>
      <w:r/>
      <w:bookmarkStart w:id="314" w:name="_Hlt26671380"/>
      <w:r/>
      <w:bookmarkEnd w:id="314"/>
      <w:r>
        <w:rPr>
          <w:sz w:val="24"/>
          <w:u w:val="single"/>
        </w:rPr>
      </w:r>
      <w:r/>
    </w:p>
    <w:p>
      <w:pPr>
        <w:pStyle w:val="729"/>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rPr>
          <w:rFonts w:hint="eastAsia"/>
        </w:rPr>
      </w:pPr>
      <w:r>
        <w:rPr>
          <w:rFonts w:hint="eastAsia"/>
        </w:rPr>
      </w:r>
      <w:r/>
    </w:p>
    <w:p>
      <w:pPr>
        <w:pStyle w:val="807"/>
      </w:pPr>
      <w:r/>
      <w:r/>
    </w:p>
    <w:p>
      <w:pPr>
        <w:pStyle w:val="729"/>
        <w:ind w:firstLine="723"/>
        <w:jc w:val="center"/>
        <w:spacing w:after="120" w:line="360" w:lineRule="auto"/>
        <w:rPr>
          <w:rFonts w:hint="eastAsia"/>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rPr>
          <w:rFonts w:hint="eastAsia"/>
          <w:b/>
          <w:spacing w:val="20"/>
          <w:sz w:val="32"/>
          <w:szCs w:val="32"/>
        </w:rPr>
      </w:r>
      <w:r/>
    </w:p>
    <w:p>
      <w:pPr>
        <w:pStyle w:val="729"/>
        <w:spacing w:line="500" w:lineRule="exact"/>
        <w:rPr>
          <w:rFonts w:ascii="宋体" w:hAnsi="宋体" w:cs="楷体"/>
          <w:color w:val="000000"/>
          <w:sz w:val="24"/>
        </w:rPr>
      </w:pPr>
      <w:r>
        <w:rPr>
          <w:rFonts w:hint="eastAsia" w:ascii="宋体" w:hAnsi="宋体" w:cs="楷体"/>
          <w:color w:val="000000"/>
          <w:sz w:val="24"/>
        </w:rPr>
        <w:t xml:space="preserve">致本项目采购单位及江苏嘉加诚工程投资咨询有限公司：</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按照《中华人民共和国政府采购法》第二十二条及采购文件的规定，我单位郑重声明如下：</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29"/>
        <w:ind w:firstLine="480"/>
        <w:spacing w:line="500" w:lineRule="exact"/>
        <w:rPr>
          <w:rFonts w:ascii="宋体" w:hAnsi="宋体" w:cs="楷体"/>
          <w:color w:val="000000"/>
          <w:sz w:val="24"/>
        </w:rPr>
      </w:pPr>
      <w:r>
        <w:rPr>
          <w:rFonts w:ascii="宋体" w:hAnsi="宋体" w:cs="楷体"/>
          <w:color w:val="000000"/>
          <w:sz w:val="24"/>
        </w:rPr>
      </w:r>
      <w:r/>
    </w:p>
    <w:p>
      <w:pPr>
        <w:pStyle w:val="979"/>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729"/>
        <w:ind w:firstLine="480"/>
        <w:jc w:val="center"/>
        <w:spacing w:line="500" w:lineRule="exact"/>
        <w:rPr>
          <w:rFonts w:ascii="宋体" w:hAnsi="宋体" w:cs="楷体"/>
          <w:sz w:val="24"/>
        </w:rPr>
      </w:pPr>
      <w:r>
        <w:rPr>
          <w:rFonts w:hint="eastAsia" w:ascii="宋体" w:hAnsi="宋体" w:cs="楷体"/>
          <w:color w:val="000000"/>
          <w:sz w:val="24"/>
        </w:rPr>
        <w:t xml:space="preserve"> </w:t>
      </w:r>
      <w:r>
        <w:rPr>
          <w:rFonts w:ascii="宋体" w:hAnsi="宋体" w:cs="楷体"/>
          <w:color w:val="000000"/>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9"/>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729"/>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29"/>
        <w:spacing w:line="440" w:lineRule="exact"/>
        <w:widowControl/>
        <w:rPr>
          <w:rFonts w:ascii="宋体" w:hAnsi="宋体" w:cs="楷体"/>
          <w:color w:val="000000"/>
          <w:sz w:val="24"/>
        </w:rPr>
      </w:pPr>
      <w:r>
        <w:rPr>
          <w:rFonts w:ascii="宋体" w:hAnsi="宋体" w:cs="楷体"/>
          <w:color w:val="000000"/>
          <w:sz w:val="24"/>
        </w:rPr>
      </w:r>
      <w:r/>
    </w:p>
    <w:p>
      <w:pPr>
        <w:pStyle w:val="729"/>
        <w:spacing w:line="440" w:lineRule="exact"/>
        <w:widowControl/>
        <w:rPr>
          <w:rFonts w:hint="eastAsia" w:ascii="宋体" w:hAnsi="宋体"/>
          <w:b/>
          <w:color w:val="000000"/>
          <w:sz w:val="24"/>
        </w:rPr>
      </w:pPr>
      <w:r>
        <w:rPr>
          <w:rFonts w:hint="eastAsia" w:ascii="宋体" w:hAnsi="宋体"/>
          <w:b/>
          <w:color w:val="000000"/>
          <w:sz w:val="24"/>
        </w:rPr>
      </w:r>
      <w:r/>
    </w:p>
    <w:p>
      <w:pPr>
        <w:pStyle w:val="729"/>
        <w:spacing w:line="440" w:lineRule="exact"/>
        <w:widowControl/>
        <w:rPr>
          <w:rFonts w:ascii="宋体" w:hAnsi="宋体"/>
          <w:b/>
          <w:color w:val="000000"/>
          <w:sz w:val="24"/>
        </w:rPr>
      </w:pPr>
      <w:r>
        <w:rPr>
          <w:rFonts w:ascii="宋体" w:hAnsi="宋体"/>
          <w:b/>
          <w:color w:val="000000"/>
          <w:sz w:val="24"/>
        </w:rPr>
      </w:r>
      <w:r/>
    </w:p>
    <w:p>
      <w:pPr>
        <w:pStyle w:val="807"/>
      </w:pPr>
      <w:r/>
      <w:r/>
    </w:p>
    <w:p>
      <w:pPr>
        <w:pStyle w:val="807"/>
      </w:pPr>
      <w:r/>
      <w:r/>
    </w:p>
    <w:p>
      <w:pPr>
        <w:pStyle w:val="807"/>
        <w:rPr>
          <w:rFonts w:hint="eastAsia"/>
        </w:rPr>
      </w:pPr>
      <w:r>
        <w:rPr>
          <w:rFonts w:hint="eastAsia"/>
        </w:rPr>
      </w:r>
      <w:r/>
    </w:p>
    <w:p>
      <w:pPr>
        <w:pStyle w:val="807"/>
      </w:pPr>
      <w:r/>
      <w:r/>
    </w:p>
    <w:p>
      <w:pPr>
        <w:pStyle w:val="729"/>
        <w:spacing w:line="440" w:lineRule="exact"/>
        <w:widowControl/>
        <w:rPr>
          <w:rFonts w:hint="eastAsia" w:ascii="宋体" w:hAnsi="宋体"/>
          <w:b/>
          <w:color w:val="000000"/>
          <w:sz w:val="24"/>
        </w:rPr>
      </w:pPr>
      <w:r>
        <w:rPr>
          <w:rFonts w:hint="eastAsia" w:ascii="宋体" w:hAnsi="宋体"/>
          <w:b/>
          <w:color w:val="000000"/>
          <w:sz w:val="24"/>
        </w:rPr>
      </w:r>
      <w:r/>
    </w:p>
    <w:p>
      <w:pPr>
        <w:pStyle w:val="981"/>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十、政府采购供应商信用承诺书</w:t>
      </w:r>
      <w:r>
        <w:rPr>
          <w:rFonts w:ascii="Times New Roman" w:eastAsia="宋体"/>
          <w:b/>
          <w:color w:val="000000"/>
          <w:spacing w:val="20"/>
          <w:sz w:val="32"/>
          <w:szCs w:val="32"/>
        </w:rPr>
        <w:t xml:space="preserve">（实质性格式）</w:t>
      </w:r>
      <w:r>
        <w:rPr>
          <w:rFonts w:hint="eastAsia" w:ascii="Times New Roman" w:eastAsia="宋体"/>
          <w:b/>
          <w:color w:val="000000"/>
          <w:spacing w:val="20"/>
          <w:sz w:val="32"/>
          <w:szCs w:val="32"/>
        </w:rPr>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w:t>
      </w:r>
      <w:r>
        <w:rPr>
          <w:rFonts w:hint="eastAsia" w:ascii="宋体" w:hAnsi="宋体" w:cs="楷体"/>
          <w:color w:val="000000"/>
          <w:sz w:val="24"/>
        </w:rPr>
        <w:t xml:space="preserve">经阅读并充分理解《常州市政府采购供应商信用管理暂行办法》，自愿按照《常州市政府采购供应商信用管理暂行办法》规定，发生失信行为将记录并公开到“信用常州”、常州市政府采购网。</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w:t>
      </w:r>
      <w:r>
        <w:rPr>
          <w:rFonts w:hint="eastAsia" w:ascii="宋体" w:hAnsi="宋体" w:cs="楷体"/>
          <w:color w:val="000000"/>
          <w:sz w:val="24"/>
        </w:rPr>
        <w:t xml:space="preserve">违背承诺约定，经查实，愿意接受行业主管部门和信用管理部门相应的规定处罚，承担违约责任，并依法承担相应的法律责任。</w:t>
      </w:r>
      <w:r/>
    </w:p>
    <w:p>
      <w:pPr>
        <w:pStyle w:val="729"/>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729"/>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29"/>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29"/>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29"/>
        <w:ind w:firstLine="504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p>
    <w:p>
      <w:pPr>
        <w:pStyle w:val="976"/>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97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976"/>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76"/>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29"/>
        <w:jc w:val="center"/>
        <w:spacing w:after="120" w:line="360" w:lineRule="auto"/>
        <w:rPr>
          <w:b/>
          <w:spacing w:val="20"/>
          <w:sz w:val="32"/>
          <w:szCs w:val="32"/>
        </w:rPr>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w:t>
      </w:r>
      <w:r>
        <w:rPr>
          <w:rFonts w:hint="eastAsia"/>
          <w:b/>
          <w:spacing w:val="20"/>
          <w:sz w:val="32"/>
          <w:szCs w:val="32"/>
        </w:rPr>
        <w:t xml:space="preserve">如有，为</w:t>
      </w:r>
      <w:r>
        <w:rPr>
          <w:b/>
          <w:spacing w:val="20"/>
          <w:sz w:val="32"/>
          <w:szCs w:val="32"/>
        </w:rPr>
        <w:t xml:space="preserve">实质性格式）</w:t>
      </w:r>
      <w:r/>
    </w:p>
    <w:p>
      <w:pPr>
        <w:pStyle w:val="729"/>
        <w:spacing w:line="560" w:lineRule="exact"/>
        <w:rPr>
          <w:rFonts w:ascii="宋体" w:hAnsi="宋体"/>
          <w:sz w:val="24"/>
          <w:szCs w:val="21"/>
        </w:rPr>
      </w:pPr>
      <w:r/>
      <w:bookmarkStart w:id="315"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自愿组成联合体，参加江苏嘉加诚工程投资咨询有限公司(常州分公司)组织的采购编号为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29"/>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29"/>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w:t>
      </w:r>
      <w:r>
        <w:rPr>
          <w:rFonts w:hint="eastAsia" w:ascii="宋体" w:hAnsi="宋体"/>
          <w:sz w:val="24"/>
          <w:szCs w:val="21"/>
        </w:rPr>
        <w:t xml:space="preserve">公司/单位所承担的合同金额将占本项目合同总金额的</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p>
    <w:p>
      <w:pPr>
        <w:pStyle w:val="729"/>
        <w:ind w:firstLine="645"/>
        <w:spacing w:line="560" w:lineRule="exact"/>
        <w:rPr>
          <w:rFonts w:hint="eastAsia" w:ascii="宋体" w:hAnsi="宋体"/>
          <w:sz w:val="24"/>
          <w:szCs w:val="21"/>
        </w:rPr>
      </w:pPr>
      <w:r>
        <w:rPr>
          <w:rFonts w:hint="eastAsia" w:ascii="宋体" w:hAnsi="宋体"/>
          <w:sz w:val="24"/>
          <w:szCs w:val="21"/>
        </w:rPr>
      </w:r>
      <w:r/>
    </w:p>
    <w:p>
      <w:pPr>
        <w:pStyle w:val="729"/>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2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729"/>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729"/>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29"/>
        <w:ind w:left="480"/>
        <w:jc w:val="right"/>
        <w:spacing w:line="360" w:lineRule="auto"/>
        <w:rPr>
          <w:b/>
          <w:color w:val="000000"/>
          <w:sz w:val="24"/>
        </w:rPr>
      </w:pPr>
      <w:r/>
      <w:bookmarkEnd w:id="315"/>
      <w:r>
        <w:rPr>
          <w:b/>
          <w:color w:val="000000"/>
          <w:sz w:val="24"/>
        </w:rPr>
      </w:r>
      <w:r/>
    </w:p>
    <w:p>
      <w:pPr>
        <w:pStyle w:val="729"/>
        <w:ind w:firstLine="480"/>
        <w:spacing w:line="360" w:lineRule="auto"/>
        <w:tabs>
          <w:tab w:val="left" w:pos="8280" w:leader="none"/>
        </w:tabs>
        <w:rPr>
          <w:color w:val="000000"/>
          <w:sz w:val="24"/>
        </w:rPr>
      </w:pPr>
      <w:r>
        <w:rPr>
          <w:color w:val="000000"/>
          <w:sz w:val="24"/>
        </w:rPr>
      </w:r>
      <w:r/>
    </w:p>
    <w:p>
      <w:pPr>
        <w:pStyle w:val="729"/>
        <w:ind w:firstLine="480"/>
        <w:spacing w:line="360" w:lineRule="auto"/>
        <w:tabs>
          <w:tab w:val="left" w:pos="8280" w:leader="none"/>
        </w:tabs>
        <w:rPr>
          <w:color w:val="000000"/>
          <w:sz w:val="24"/>
        </w:rPr>
      </w:pPr>
      <w:r>
        <w:rPr>
          <w:color w:val="000000"/>
          <w:sz w:val="24"/>
        </w:rPr>
      </w:r>
      <w:r/>
    </w:p>
    <w:p>
      <w:pPr>
        <w:pStyle w:val="729"/>
        <w:ind w:firstLine="480"/>
        <w:spacing w:line="360" w:lineRule="auto"/>
        <w:tabs>
          <w:tab w:val="left" w:pos="8280" w:leader="none"/>
        </w:tabs>
        <w:rPr>
          <w:color w:val="000000"/>
          <w:sz w:val="24"/>
        </w:rPr>
      </w:pPr>
      <w:r>
        <w:rPr>
          <w:color w:val="000000"/>
          <w:sz w:val="24"/>
        </w:rPr>
      </w:r>
      <w:r/>
    </w:p>
    <w:p>
      <w:pPr>
        <w:pStyle w:val="729"/>
        <w:ind w:firstLine="480"/>
        <w:spacing w:line="360" w:lineRule="auto"/>
        <w:tabs>
          <w:tab w:val="left" w:pos="8280" w:leader="none"/>
        </w:tabs>
        <w:rPr>
          <w:color w:val="000000"/>
          <w:sz w:val="24"/>
        </w:rPr>
      </w:pPr>
      <w:r>
        <w:rPr>
          <w:color w:val="000000"/>
          <w:sz w:val="24"/>
        </w:rPr>
      </w:r>
      <w:r/>
    </w:p>
    <w:p>
      <w:pPr>
        <w:pStyle w:val="729"/>
        <w:ind w:firstLine="480"/>
        <w:spacing w:line="360" w:lineRule="auto"/>
        <w:tabs>
          <w:tab w:val="left" w:pos="8280" w:leader="none"/>
        </w:tabs>
        <w:rPr>
          <w:color w:val="000000"/>
          <w:sz w:val="24"/>
        </w:rPr>
      </w:pPr>
      <w:r>
        <w:rPr>
          <w:color w:val="000000"/>
          <w:sz w:val="24"/>
        </w:rPr>
      </w:r>
      <w:r/>
    </w:p>
    <w:p>
      <w:pPr>
        <w:pStyle w:val="729"/>
        <w:ind w:firstLine="480"/>
        <w:spacing w:line="360" w:lineRule="auto"/>
        <w:tabs>
          <w:tab w:val="left" w:pos="8280" w:leader="none"/>
        </w:tabs>
        <w:rPr>
          <w:rFonts w:hint="eastAsia"/>
          <w:color w:val="000000"/>
          <w:sz w:val="24"/>
        </w:rPr>
      </w:pPr>
      <w:r>
        <w:rPr>
          <w:rFonts w:hint="eastAsia"/>
          <w:color w:val="000000"/>
          <w:sz w:val="24"/>
        </w:rPr>
      </w:r>
      <w:r/>
    </w:p>
    <w:p>
      <w:pPr>
        <w:pStyle w:val="807"/>
      </w:pPr>
      <w:r/>
      <w:r/>
    </w:p>
    <w:p>
      <w:pPr>
        <w:pStyle w:val="729"/>
        <w:spacing w:after="120" w:line="360" w:lineRule="auto"/>
        <w:rPr>
          <w:b/>
          <w:spacing w:val="20"/>
          <w:sz w:val="32"/>
          <w:szCs w:val="32"/>
        </w:rPr>
      </w:pPr>
      <w:r>
        <w:rPr>
          <w:b/>
          <w:spacing w:val="20"/>
          <w:sz w:val="32"/>
          <w:szCs w:val="32"/>
        </w:rPr>
      </w:r>
      <w:r/>
    </w:p>
    <w:p>
      <w:pPr>
        <w:pStyle w:val="807"/>
      </w:pPr>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p>
    <w:p>
      <w:pPr>
        <w:pStyle w:val="729"/>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rPr>
        <w:t xml:space="preserve">（招标人）</w:t>
      </w:r>
      <w:r>
        <w:rPr>
          <w:rFonts w:ascii="宋体" w:hAnsi="宋体"/>
          <w:sz w:val="24"/>
          <w:szCs w:val="21"/>
          <w:u w:val="single"/>
        </w:rPr>
        <w:t xml:space="preserve"> </w:t>
      </w:r>
      <w:r>
        <w:rPr>
          <w:rFonts w:ascii="宋体" w:hAnsi="宋体"/>
          <w:sz w:val="24"/>
          <w:szCs w:val="21"/>
        </w:rPr>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72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72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w:t>
      </w:r>
      <w:r>
        <w:rPr>
          <w:rFonts w:hint="eastAsia" w:ascii="宋体" w:hAnsi="宋体"/>
          <w:sz w:val="24"/>
          <w:szCs w:val="21"/>
        </w:rPr>
        <w:t xml:space="preserve">的任何证据或资料，并保证我方已提供和将要提供的文件是真实的、准确的。</w:t>
      </w:r>
      <w:r/>
    </w:p>
    <w:p>
      <w:pPr>
        <w:pStyle w:val="72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72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29"/>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729"/>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807"/>
        <w:rPr>
          <w:color w:val="000000"/>
        </w:rPr>
      </w:pPr>
      <w:r>
        <w:rPr>
          <w:color w:val="000000"/>
        </w:rPr>
      </w:r>
      <w:r/>
    </w:p>
    <w:p>
      <w:pPr>
        <w:pStyle w:val="807"/>
        <w:rPr>
          <w:color w:val="000000"/>
        </w:rPr>
      </w:pPr>
      <w:r>
        <w:rPr>
          <w:color w:val="000000"/>
        </w:rPr>
      </w:r>
      <w:r/>
    </w:p>
    <w:p>
      <w:pPr>
        <w:pStyle w:val="807"/>
        <w:rPr>
          <w:color w:val="000000"/>
        </w:rPr>
      </w:pPr>
      <w:r>
        <w:rPr>
          <w:color w:val="000000"/>
        </w:rPr>
        <w:t xml:space="preserve"></w:t>
      </w:r>
      <w:bookmarkStart w:id="316"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16"/>
      <w:r>
        <w:rPr>
          <w:color w:val="000000"/>
        </w:rPr>
      </w:r>
      <w:r/>
    </w:p>
    <w:p>
      <w:pPr>
        <w:pStyle w:val="729"/>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761"/>
        <w:rPr>
          <w:rFonts w:hint="eastAsia" w:ascii="Times New Roman" w:hAnsi="Times New Roman"/>
          <w:color w:val="ff0000"/>
          <w:sz w:val="20"/>
          <w:szCs w:val="20"/>
        </w:rPr>
      </w:pPr>
      <w:r>
        <w:rPr>
          <w:rFonts w:hint="eastAsia" w:ascii="Times New Roman" w:hAnsi="Times New Roman"/>
          <w:color w:val="ff0000"/>
          <w:sz w:val="20"/>
          <w:szCs w:val="20"/>
        </w:rPr>
      </w:r>
      <w:r/>
    </w:p>
    <w:p>
      <w:pPr>
        <w:pStyle w:val="761"/>
      </w:pPr>
      <w:r/>
      <w:r/>
    </w:p>
    <w:p>
      <w:pPr>
        <w:pStyle w:val="761"/>
        <w:rPr>
          <w:color w:val="ff0000"/>
        </w:rPr>
      </w:pPr>
      <w:r>
        <w:rPr>
          <w:color w:val="ff0000"/>
        </w:rPr>
      </w:r>
      <w:r/>
    </w:p>
    <w:p>
      <w:pPr>
        <w:pStyle w:val="761"/>
        <w:rPr>
          <w:rFonts w:hint="eastAsia"/>
          <w:color w:val="ff0000"/>
        </w:rPr>
      </w:pPr>
      <w:r>
        <w:rPr>
          <w:rFonts w:hint="eastAsia"/>
          <w:color w:val="ff0000"/>
        </w:rPr>
      </w:r>
      <w:r/>
    </w:p>
    <w:p>
      <w:pPr>
        <w:pStyle w:val="729"/>
        <w:jc w:val="center"/>
        <w:rPr>
          <w:b/>
          <w:spacing w:val="20"/>
          <w:sz w:val="32"/>
          <w:szCs w:val="32"/>
        </w:rPr>
      </w:pPr>
      <w:r>
        <w:rPr>
          <w:b/>
          <w:spacing w:val="20"/>
          <w:sz w:val="32"/>
          <w:szCs w:val="32"/>
        </w:rPr>
      </w:r>
      <w:r/>
    </w:p>
    <w:p>
      <w:pPr>
        <w:pStyle w:val="729"/>
        <w:jc w:val="center"/>
        <w:rPr>
          <w:rFonts w:hint="eastAsia"/>
          <w:b/>
          <w:spacing w:val="20"/>
          <w:sz w:val="32"/>
          <w:szCs w:val="32"/>
        </w:rPr>
      </w:pPr>
      <w:r>
        <w:rPr>
          <w:rFonts w:hint="eastAsia"/>
          <w:b/>
          <w:spacing w:val="20"/>
          <w:sz w:val="32"/>
          <w:szCs w:val="32"/>
        </w:rPr>
      </w:r>
      <w:r/>
    </w:p>
    <w:p>
      <w:pPr>
        <w:pStyle w:val="807"/>
      </w:pPr>
      <w:r/>
      <w:r/>
    </w:p>
    <w:p>
      <w:pPr>
        <w:pStyle w:val="729"/>
        <w:jc w:val="center"/>
        <w:spacing w:line="400" w:lineRule="exact"/>
        <w:rPr>
          <w:rFonts w:hint="eastAsia" w:ascii="宋体" w:hAnsi="宋体"/>
          <w:color w:val="000000"/>
          <w:sz w:val="24"/>
        </w:rPr>
      </w:pPr>
      <w:r/>
      <w:bookmarkStart w:id="317" w:name="_Hlk153357001"/>
      <w:r>
        <w:rPr>
          <w:rFonts w:hint="eastAsia" w:ascii="宋体" w:hAnsi="宋体"/>
          <w:color w:val="000000"/>
          <w:sz w:val="24"/>
        </w:rPr>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w:t>
      </w:r>
      <w:bookmarkStart w:id="318" w:name="_Hlk153356824"/>
      <w:r>
        <w:rPr>
          <w:rFonts w:hint="eastAsia"/>
          <w:b/>
          <w:spacing w:val="20"/>
          <w:sz w:val="32"/>
          <w:szCs w:val="32"/>
        </w:rPr>
        <w:t xml:space="preserve">三、</w:t>
      </w:r>
      <w:bookmarkEnd w:id="317"/>
      <w:r/>
      <w:bookmarkEnd w:id="318"/>
      <w:r>
        <w:rPr>
          <w:rFonts w:hint="eastAsia"/>
          <w:b/>
          <w:spacing w:val="20"/>
          <w:sz w:val="32"/>
          <w:szCs w:val="32"/>
        </w:rPr>
        <w:t xml:space="preserve">技术偏离表</w:t>
      </w:r>
      <w:r>
        <w:rPr>
          <w:b/>
          <w:spacing w:val="20"/>
          <w:sz w:val="32"/>
          <w:szCs w:val="32"/>
        </w:rPr>
        <w:t xml:space="preserve">（实质性格式）</w:t>
      </w:r>
      <w:r/>
    </w:p>
    <w:p>
      <w:pPr>
        <w:pStyle w:val="729"/>
        <w:spacing w:line="360" w:lineRule="auto"/>
        <w:rPr>
          <w:rFonts w:hint="eastAsia" w:ascii="宋体" w:hAnsi="宋体" w:cs="宋体"/>
          <w:color w:val="000000"/>
          <w:sz w:val="20"/>
          <w:szCs w:val="21"/>
          <w:lang w:bidi="ar"/>
        </w:rPr>
      </w:pPr>
      <w:r>
        <w:rPr>
          <w:rFonts w:hint="eastAsia" w:ascii="宋体" w:hAnsi="宋体" w:cs="黑体"/>
          <w:bCs/>
          <w:color w:val="000000"/>
          <w:sz w:val="24"/>
          <w:lang w:bidi="ar"/>
        </w:rPr>
        <w:t xml:space="preserve">采购项目编号：</w:t>
      </w:r>
      <w:r>
        <w:rPr>
          <w:rFonts w:hint="eastAsia" w:ascii="宋体" w:hAnsi="宋体" w:cs="宋体"/>
          <w:color w:val="000000"/>
          <w:sz w:val="20"/>
          <w:szCs w:val="21"/>
          <w:lang w:bidi="ar"/>
        </w:rPr>
        <w:t xml:space="preserve"> </w:t>
      </w:r>
      <w:r>
        <w:rPr>
          <w:rFonts w:hint="eastAsia" w:ascii="宋体" w:hAnsi="宋体" w:cs="宋体"/>
          <w:color w:val="000000"/>
          <w:sz w:val="20"/>
          <w:szCs w:val="21"/>
          <w:lang w:bidi="ar"/>
        </w:rPr>
      </w:r>
      <w:r/>
    </w:p>
    <w:tbl>
      <w:tblPr>
        <w:tblpPr w:horzAnchor="page" w:tblpXSpec="center" w:vertAnchor="text" w:tblpY="396" w:leftFromText="180" w:topFromText="0" w:rightFromText="180" w:bottomFromText="0"/>
        <w:tblW w:w="96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5"/>
        <w:gridCol w:w="1449"/>
        <w:gridCol w:w="2357"/>
        <w:gridCol w:w="2060"/>
        <w:gridCol w:w="1234"/>
        <w:gridCol w:w="1842"/>
      </w:tblGrid>
      <w:tr>
        <w:trPr>
          <w:trHeight w:val="421"/>
        </w:trPr>
        <w:tc>
          <w:tcPr>
            <w:tcW w:w="725" w:type="dxa"/>
            <w:vAlign w:val="center"/>
            <w:textDirection w:val="lrTb"/>
            <w:noWrap w:val="false"/>
          </w:tcPr>
          <w:p>
            <w:pPr>
              <w:pStyle w:val="729"/>
              <w:jc w:val="center"/>
              <w:spacing w:line="360" w:lineRule="auto"/>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序号</w:t>
            </w:r>
            <w:r/>
          </w:p>
        </w:tc>
        <w:tc>
          <w:tcPr>
            <w:tcW w:w="1449" w:type="dxa"/>
            <w:vAlign w:val="center"/>
            <w:textDirection w:val="lrTb"/>
            <w:noWrap w:val="false"/>
          </w:tcPr>
          <w:p>
            <w:pPr>
              <w:pStyle w:val="729"/>
              <w:jc w:val="center"/>
              <w:spacing w:line="360" w:lineRule="auto"/>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名称及内容</w:t>
            </w:r>
            <w:r/>
          </w:p>
        </w:tc>
        <w:tc>
          <w:tcPr>
            <w:tcW w:w="2357" w:type="dxa"/>
            <w:vAlign w:val="center"/>
            <w:textDirection w:val="lrTb"/>
            <w:noWrap w:val="false"/>
          </w:tcPr>
          <w:p>
            <w:pPr>
              <w:pStyle w:val="729"/>
              <w:jc w:val="center"/>
              <w:spacing w:line="360" w:lineRule="auto"/>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招标文件技术参数</w:t>
            </w:r>
            <w:r/>
          </w:p>
        </w:tc>
        <w:tc>
          <w:tcPr>
            <w:tcW w:w="2060" w:type="dxa"/>
            <w:vAlign w:val="center"/>
            <w:textDirection w:val="lrTb"/>
            <w:noWrap w:val="false"/>
          </w:tcPr>
          <w:p>
            <w:pPr>
              <w:pStyle w:val="729"/>
              <w:jc w:val="center"/>
              <w:spacing w:line="360" w:lineRule="auto"/>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投标文件技术参数</w:t>
            </w:r>
            <w:r/>
          </w:p>
        </w:tc>
        <w:tc>
          <w:tcPr>
            <w:tcW w:w="1234" w:type="dxa"/>
            <w:vAlign w:val="center"/>
            <w:textDirection w:val="lrTb"/>
            <w:noWrap w:val="false"/>
          </w:tcPr>
          <w:p>
            <w:pPr>
              <w:pStyle w:val="729"/>
              <w:jc w:val="center"/>
              <w:spacing w:line="360" w:lineRule="auto"/>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证明材料</w:t>
            </w:r>
            <w:r/>
          </w:p>
        </w:tc>
        <w:tc>
          <w:tcPr>
            <w:tcW w:w="1842" w:type="dxa"/>
            <w:vAlign w:val="center"/>
            <w:textDirection w:val="lrTb"/>
            <w:noWrap w:val="false"/>
          </w:tcPr>
          <w:p>
            <w:pPr>
              <w:pStyle w:val="729"/>
              <w:spacing w:line="360" w:lineRule="auto"/>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偏离</w:t>
            </w:r>
            <w:r>
              <w:rPr>
                <w:rFonts w:hint="eastAsia" w:ascii="宋体" w:hAnsi="宋体" w:cs="黑体"/>
                <w:bCs/>
                <w:color w:val="000000"/>
                <w:sz w:val="24"/>
              </w:rPr>
              <w:t xml:space="preserve">项及参数</w:t>
            </w:r>
            <w:r>
              <w:rPr>
                <w:rFonts w:hint="eastAsia" w:ascii="宋体" w:hAnsi="宋体" w:cs="黑体"/>
                <w:bCs/>
                <w:color w:val="000000"/>
                <w:sz w:val="24"/>
              </w:rPr>
            </w:r>
            <w:r/>
          </w:p>
        </w:tc>
      </w:tr>
      <w:tr>
        <w:trPr>
          <w:trHeight w:val="357"/>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一、</w:t>
            </w:r>
            <w:r/>
          </w:p>
        </w:tc>
        <w:tc>
          <w:tcPr>
            <w:gridSpan w:val="5"/>
            <w:tcW w:w="89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带</w:t>
            </w:r>
            <w:r>
              <w:rPr>
                <w:rFonts w:hint="eastAsia" w:ascii="宋体" w:hAnsi="宋体" w:cs="黑体"/>
                <w:bCs/>
                <w:color w:val="000000"/>
                <w:sz w:val="24"/>
              </w:rPr>
              <w:t xml:space="preserve">★</w:t>
            </w:r>
            <w:r>
              <w:rPr>
                <w:rFonts w:hint="eastAsia" w:ascii="宋体" w:hAnsi="宋体" w:cs="黑体"/>
                <w:bCs/>
                <w:color w:val="000000"/>
                <w:sz w:val="24"/>
              </w:rPr>
              <w:t xml:space="preserve">参数</w:t>
            </w:r>
            <w:r>
              <w:rPr>
                <w:rFonts w:hint="eastAsia" w:ascii="宋体" w:hAnsi="宋体" w:cs="黑体"/>
                <w:bCs/>
                <w:color w:val="000000"/>
                <w:sz w:val="24"/>
              </w:rPr>
              <w:t xml:space="preserve">（实质性参数，必须响应）</w:t>
            </w:r>
            <w:r>
              <w:rPr>
                <w:rFonts w:hint="eastAsia" w:ascii="宋体" w:hAnsi="宋体" w:cs="黑体"/>
                <w:bCs/>
                <w:color w:val="000000"/>
                <w:sz w:val="24"/>
              </w:rPr>
            </w:r>
            <w:r/>
          </w:p>
        </w:tc>
      </w:tr>
      <w:tr>
        <w:trPr>
          <w:trHeight w:val="425"/>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1</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25"/>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2</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25"/>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二、</w:t>
            </w:r>
            <w:r/>
          </w:p>
        </w:tc>
        <w:tc>
          <w:tcPr>
            <w:gridSpan w:val="5"/>
            <w:tcW w:w="89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带▲参数</w:t>
            </w:r>
            <w:r/>
          </w:p>
        </w:tc>
      </w:tr>
      <w:tr>
        <w:trPr>
          <w:trHeight w:val="425"/>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1</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2</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824"/>
              <w:ind w:firstLine="480"/>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3</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00"/>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三</w:t>
            </w:r>
            <w:r>
              <w:rPr>
                <w:rFonts w:hint="eastAsia" w:ascii="宋体" w:hAnsi="宋体" w:cs="黑体"/>
                <w:bCs/>
                <w:color w:val="000000"/>
                <w:sz w:val="24"/>
              </w:rPr>
              <w:t xml:space="preserve">、</w:t>
            </w:r>
            <w:r/>
          </w:p>
        </w:tc>
        <w:tc>
          <w:tcPr>
            <w:gridSpan w:val="5"/>
            <w:tcW w:w="89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一般参数（不带▲</w:t>
            </w:r>
            <w:r>
              <w:rPr>
                <w:rFonts w:hint="eastAsia" w:ascii="宋体" w:hAnsi="宋体" w:cs="黑体"/>
                <w:bCs/>
                <w:color w:val="000000"/>
                <w:sz w:val="24"/>
              </w:rPr>
              <w:t xml:space="preserve">、</w:t>
            </w:r>
            <w:r>
              <w:rPr>
                <w:rFonts w:hint="eastAsia" w:ascii="宋体" w:hAnsi="宋体" w:cs="黑体"/>
                <w:bCs/>
                <w:color w:val="000000"/>
                <w:sz w:val="24"/>
              </w:rPr>
              <w:t xml:space="preserve">★</w:t>
            </w:r>
            <w:r>
              <w:rPr>
                <w:rFonts w:hint="eastAsia" w:ascii="宋体" w:hAnsi="宋体" w:cs="黑体"/>
                <w:bCs/>
                <w:color w:val="000000"/>
                <w:sz w:val="24"/>
              </w:rPr>
              <w:t xml:space="preserve">）</w:t>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1</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37"/>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2</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824"/>
              <w:ind w:firstLine="480"/>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3</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824"/>
              <w:ind w:firstLine="480"/>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4</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454"/>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5</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r>
        <w:trPr>
          <w:trHeight w:val="523"/>
        </w:trPr>
        <w:tc>
          <w:tcPr>
            <w:tcW w:w="725"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t xml:space="preserve">…</w:t>
            </w:r>
            <w:r/>
          </w:p>
        </w:tc>
        <w:tc>
          <w:tcPr>
            <w:tcW w:w="1449"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357"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2060"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234" w:type="dxa"/>
            <w:vAlign w:val="center"/>
            <w:textDirection w:val="lrTb"/>
            <w:noWrap w:val="false"/>
          </w:tcPr>
          <w:p>
            <w:pPr>
              <w:pStyle w:val="729"/>
              <w:jc w:val="center"/>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c>
          <w:tcPr>
            <w:tcW w:w="1842" w:type="dxa"/>
            <w:vAlign w:val="center"/>
            <w:textDirection w:val="lrTb"/>
            <w:noWrap w:val="false"/>
          </w:tcPr>
          <w:p>
            <w:pPr>
              <w:pStyle w:val="729"/>
              <w:jc w:val="left"/>
              <w:spacing w:line="240" w:lineRule="atLeast"/>
              <w:rPr>
                <w:rFonts w:hint="eastAsia" w:ascii="宋体" w:hAnsi="宋体" w:cs="黑体"/>
                <w:bCs/>
                <w:color w:val="000000"/>
                <w:sz w:val="24"/>
              </w:rPr>
              <w:framePr w:hSpace="180" w:wrap="around" w:vAnchor="text" w:hAnchor="page" w:xAlign="center" w:y="396"/>
            </w:pPr>
            <w:r>
              <w:rPr>
                <w:rFonts w:hint="eastAsia" w:ascii="宋体" w:hAnsi="宋体" w:cs="黑体"/>
                <w:bCs/>
                <w:color w:val="000000"/>
                <w:sz w:val="24"/>
              </w:rPr>
            </w:r>
            <w:r/>
          </w:p>
        </w:tc>
      </w:tr>
    </w:tbl>
    <w:p>
      <w:pPr>
        <w:pStyle w:val="729"/>
        <w:spacing w:line="360" w:lineRule="auto"/>
        <w:rPr>
          <w:rFonts w:hint="eastAsia" w:ascii="宋体" w:hAnsi="宋体"/>
          <w:b/>
          <w:bCs/>
          <w:color w:val="000000"/>
          <w:sz w:val="24"/>
        </w:rPr>
      </w:pPr>
      <w:r>
        <w:rPr>
          <w:rFonts w:hint="eastAsia" w:ascii="宋体" w:hAnsi="宋体"/>
          <w:b/>
          <w:bCs/>
          <w:color w:val="000000"/>
          <w:sz w:val="24"/>
        </w:rPr>
        <w:t xml:space="preserve">证明材料附后</w:t>
      </w:r>
      <w:r/>
    </w:p>
    <w:p>
      <w:pPr>
        <w:pStyle w:val="729"/>
        <w:ind w:firstLine="4560"/>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rPr>
          <w:rFonts w:ascii="黑体" w:eastAsia="黑体" w:cs="黑体"/>
          <w:bCs/>
          <w:color w:val="000000"/>
          <w:sz w:val="24"/>
          <w:lang w:bidi="ar"/>
        </w:rPr>
      </w:r>
      <w:r/>
    </w:p>
    <w:p>
      <w:pPr>
        <w:pStyle w:val="807"/>
        <w:ind w:firstLine="4800"/>
        <w:rPr>
          <w:rFonts w:hint="eastAsia"/>
          <w:lang w:bidi="ar"/>
        </w:rPr>
      </w:pPr>
      <w:r>
        <w:rPr>
          <w:rFonts w:ascii="黑体" w:eastAsia="黑体" w:cs="黑体"/>
          <w:bCs/>
          <w:lang w:bidi="ar"/>
        </w:rPr>
        <w:t xml:space="preserve">日期：_____年______月______日</w:t>
      </w:r>
      <w:r>
        <w:rPr>
          <w:rFonts w:hint="eastAsia"/>
          <w:lang w:bidi="ar"/>
        </w:rPr>
      </w:r>
      <w:r/>
    </w:p>
    <w:p>
      <w:pPr>
        <w:pStyle w:val="729"/>
        <w:spacing w:line="360" w:lineRule="auto"/>
        <w:rPr>
          <w:b/>
          <w:color w:val="000000"/>
          <w:sz w:val="24"/>
          <w:szCs w:val="20"/>
        </w:rPr>
      </w:pPr>
      <w:r>
        <w:rPr>
          <w:rFonts w:hint="eastAsia"/>
          <w:b/>
          <w:color w:val="000000"/>
          <w:sz w:val="24"/>
          <w:szCs w:val="20"/>
        </w:rPr>
        <w:t xml:space="preserve">注意事项：</w:t>
      </w:r>
      <w:r>
        <w:rPr>
          <w:b/>
          <w:color w:val="000000"/>
          <w:sz w:val="24"/>
          <w:szCs w:val="20"/>
        </w:rPr>
      </w:r>
      <w:r/>
    </w:p>
    <w:p>
      <w:pPr>
        <w:pStyle w:val="729"/>
        <w:numPr>
          <w:ilvl w:val="0"/>
          <w:numId w:val="23"/>
        </w:numPr>
        <w:ind w:firstLine="482"/>
        <w:spacing w:line="440" w:lineRule="exact"/>
        <w:rPr>
          <w:rFonts w:hint="eastAsia" w:ascii="宋体" w:hAnsi="宋体"/>
          <w:b/>
          <w:bCs/>
          <w:color w:val="000000"/>
          <w:sz w:val="24"/>
        </w:rPr>
      </w:pPr>
      <w:r>
        <w:rPr>
          <w:rFonts w:hint="eastAsia" w:ascii="宋体" w:hAnsi="宋体"/>
          <w:b/>
          <w:bCs/>
          <w:color w:val="000000"/>
          <w:sz w:val="24"/>
        </w:rPr>
        <w:t xml:space="preserve">请按上表格式，依照招标文件项目要求相应内容逐项响应。</w:t>
      </w:r>
      <w:r/>
    </w:p>
    <w:p>
      <w:pPr>
        <w:pStyle w:val="729"/>
        <w:ind w:firstLine="482"/>
        <w:spacing w:line="440" w:lineRule="exact"/>
        <w:rPr>
          <w:rFonts w:hint="eastAsia" w:ascii="宋体" w:hAnsi="宋体"/>
          <w:b/>
          <w:bCs/>
          <w:color w:val="000000"/>
          <w:sz w:val="24"/>
        </w:rPr>
      </w:pPr>
      <w:r>
        <w:rPr>
          <w:rFonts w:hint="eastAsia" w:ascii="宋体" w:hAnsi="宋体"/>
          <w:b/>
          <w:bCs/>
          <w:color w:val="000000"/>
          <w:sz w:val="24"/>
        </w:rPr>
        <w:t xml:space="preserve">2、如招标文件要求需提供“证明材料”的，需填写证明材料名称；招标文件未要求提供“证明材料”的，可不填写。</w:t>
      </w:r>
      <w:r/>
    </w:p>
    <w:p>
      <w:pPr>
        <w:pStyle w:val="729"/>
        <w:ind w:firstLine="482"/>
        <w:spacing w:line="440" w:lineRule="exact"/>
        <w:rPr>
          <w:rFonts w:hint="eastAsia" w:ascii="宋体" w:hAnsi="宋体"/>
          <w:b/>
          <w:bCs/>
          <w:color w:val="000000"/>
          <w:sz w:val="24"/>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p>
    <w:p>
      <w:pPr>
        <w:pStyle w:val="729"/>
        <w:ind w:firstLine="2168"/>
        <w:keepLines/>
        <w:keepNext/>
        <w:spacing w:after="240" w:line="360" w:lineRule="auto"/>
        <w:widowControl/>
        <w:rPr>
          <w:b/>
          <w:spacing w:val="20"/>
          <w:sz w:val="32"/>
          <w:szCs w:val="32"/>
        </w:rPr>
        <w:outlineLvl w:val="0"/>
      </w:pPr>
      <w:r>
        <w:rPr>
          <w:rFonts w:hint="eastAsia"/>
          <w:b/>
          <w:spacing w:val="20"/>
          <w:sz w:val="32"/>
          <w:szCs w:val="32"/>
        </w:rPr>
        <w:t xml:space="preserve">十四、商务偏离表</w:t>
      </w:r>
      <w:r>
        <w:rPr>
          <w:b/>
          <w:spacing w:val="20"/>
          <w:sz w:val="32"/>
          <w:szCs w:val="32"/>
        </w:rPr>
        <w:t xml:space="preserve">（实质性格式）</w:t>
      </w:r>
      <w:r/>
    </w:p>
    <w:p>
      <w:pPr>
        <w:pStyle w:val="729"/>
        <w:spacing w:line="360" w:lineRule="auto"/>
        <w:rPr>
          <w:rFonts w:hint="eastAsia" w:ascii="宋体" w:hAnsi="宋体" w:cs="宋体"/>
          <w:color w:val="000000"/>
          <w:sz w:val="20"/>
          <w:szCs w:val="21"/>
          <w:lang w:bidi="ar"/>
        </w:rPr>
      </w:pPr>
      <w:r>
        <w:rPr>
          <w:rFonts w:hint="eastAsia" w:ascii="宋体" w:hAnsi="宋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257"/>
        <w:gridCol w:w="2551"/>
        <w:gridCol w:w="2268"/>
        <w:gridCol w:w="1548"/>
      </w:tblGrid>
      <w:tr>
        <w:trPr>
          <w:cantSplit/>
        </w:trPr>
        <w:tc>
          <w:tcPr>
            <w:gridSpan w:val="5"/>
            <w:tcW w:w="9169" w:type="dxa"/>
            <w:vAlign w:val="center"/>
            <w:textDirection w:val="lrTb"/>
            <w:noWrap w:val="false"/>
          </w:tcPr>
          <w:p>
            <w:pPr>
              <w:pStyle w:val="729"/>
              <w:jc w:val="left"/>
              <w:rPr>
                <w:b/>
                <w:color w:val="000000"/>
                <w:sz w:val="24"/>
              </w:rPr>
            </w:pPr>
            <w:r/>
            <w:bookmarkStart w:id="319" w:name="_Hlt26671343"/>
            <w:r/>
            <w:bookmarkEnd w:id="319"/>
            <w:r/>
            <w:bookmarkStart w:id="320" w:name="_Hlt26782999"/>
            <w:r/>
            <w:bookmarkEnd w:id="320"/>
            <w:r/>
            <w:bookmarkStart w:id="321" w:name="_Hlt26580838"/>
            <w:r/>
            <w:bookmarkEnd w:id="321"/>
            <w:r/>
            <w:bookmarkStart w:id="322" w:name="_Hlt26609391"/>
            <w:r/>
            <w:bookmarkEnd w:id="322"/>
            <w:r/>
            <w:bookmarkStart w:id="323" w:name="_Hlt26671372"/>
            <w:r/>
            <w:bookmarkEnd w:id="323"/>
            <w:r/>
            <w:bookmarkStart w:id="324" w:name="_Hlt26955056"/>
            <w:r/>
            <w:bookmarkEnd w:id="324"/>
            <w:r/>
            <w:bookmarkStart w:id="325" w:name="_Hlt26955064"/>
            <w:r/>
            <w:bookmarkEnd w:id="325"/>
            <w:r/>
            <w:bookmarkStart w:id="326" w:name="_Hlt24879081"/>
            <w:r/>
            <w:bookmarkEnd w:id="326"/>
            <w:r>
              <w:rPr>
                <w:rFonts w:hint="eastAsia"/>
                <w:b/>
                <w:color w:val="000000"/>
                <w:sz w:val="24"/>
              </w:rPr>
              <w:t xml:space="preserve">对本项目商务要求条款的偏离情况（请进行勾选）：</w:t>
            </w:r>
            <w:r>
              <w:rPr>
                <w:b/>
                <w:color w:val="000000"/>
                <w:sz w:val="24"/>
              </w:rPr>
            </w:r>
            <w:r/>
          </w:p>
          <w:p>
            <w:pPr>
              <w:pStyle w:val="72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29"/>
              <w:rPr>
                <w:rFonts w:ascii="宋体" w:hAnsi="宋体"/>
                <w:sz w:val="24"/>
              </w:rPr>
            </w:pPr>
            <w:r>
              <w:rPr>
                <w:b/>
                <w:color w:val="000000"/>
                <w:sz w:val="24"/>
              </w:rPr>
              <w:t xml:space="preserve">□有偏离</w:t>
            </w:r>
            <w:r>
              <w:rPr>
                <w:color w:val="000000"/>
                <w:sz w:val="24"/>
              </w:rPr>
              <w:t xml:space="preserve">（如有，则须在本表中对</w:t>
            </w:r>
            <w:r>
              <w:rPr>
                <w:rFonts w:hint="eastAsia"/>
                <w:color w:val="000000"/>
                <w:sz w:val="24"/>
              </w:rPr>
              <w:t xml:space="preserve">正偏离或负</w:t>
            </w:r>
            <w:r>
              <w:rPr>
                <w:color w:val="000000"/>
                <w:sz w:val="24"/>
              </w:rPr>
              <w:t xml:space="preserve">偏离项逐一列明）</w:t>
            </w:r>
            <w:r>
              <w:rPr>
                <w:rFonts w:ascii="宋体" w:hAnsi="宋体"/>
                <w:sz w:val="24"/>
              </w:rPr>
            </w:r>
            <w:r/>
          </w:p>
        </w:tc>
      </w:tr>
      <w:tr>
        <w:trPr>
          <w:cantSplit/>
          <w:trHeight w:val="1047"/>
        </w:trPr>
        <w:tc>
          <w:tcPr>
            <w:tcW w:w="545" w:type="dxa"/>
            <w:vAlign w:val="center"/>
            <w:textDirection w:val="lrTb"/>
            <w:noWrap w:val="false"/>
          </w:tcPr>
          <w:p>
            <w:pPr>
              <w:pStyle w:val="729"/>
              <w:jc w:val="center"/>
              <w:rPr>
                <w:rFonts w:ascii="宋体" w:hAnsi="宋体"/>
                <w:sz w:val="24"/>
              </w:rPr>
            </w:pPr>
            <w:r>
              <w:rPr>
                <w:rFonts w:hint="eastAsia" w:ascii="宋体" w:hAnsi="宋体" w:cs="黑体"/>
                <w:bCs/>
                <w:color w:val="000000"/>
                <w:sz w:val="24"/>
              </w:rPr>
              <w:t xml:space="preserve">序号</w:t>
            </w:r>
            <w:r>
              <w:rPr>
                <w:rFonts w:ascii="宋体" w:hAnsi="宋体"/>
                <w:sz w:val="24"/>
              </w:rPr>
            </w:r>
            <w:r/>
          </w:p>
        </w:tc>
        <w:tc>
          <w:tcPr>
            <w:tcW w:w="2257" w:type="dxa"/>
            <w:vAlign w:val="center"/>
            <w:textDirection w:val="lrTb"/>
            <w:noWrap w:val="false"/>
          </w:tcPr>
          <w:p>
            <w:pPr>
              <w:pStyle w:val="729"/>
              <w:jc w:val="center"/>
              <w:rPr>
                <w:rFonts w:ascii="宋体" w:hAnsi="宋体"/>
                <w:sz w:val="24"/>
              </w:rPr>
            </w:pPr>
            <w:r>
              <w:rPr>
                <w:rFonts w:hint="eastAsia" w:ascii="宋体" w:hAnsi="宋体" w:cs="黑体"/>
                <w:bCs/>
                <w:color w:val="000000"/>
                <w:sz w:val="24"/>
              </w:rPr>
              <w:t xml:space="preserve">名称及内容</w:t>
            </w:r>
            <w:r>
              <w:rPr>
                <w:rFonts w:ascii="宋体" w:hAnsi="宋体"/>
                <w:sz w:val="24"/>
              </w:rPr>
            </w:r>
            <w:r/>
          </w:p>
        </w:tc>
        <w:tc>
          <w:tcPr>
            <w:tcW w:w="2551" w:type="dxa"/>
            <w:vAlign w:val="center"/>
            <w:textDirection w:val="lrTb"/>
            <w:noWrap w:val="false"/>
          </w:tcPr>
          <w:p>
            <w:pPr>
              <w:pStyle w:val="729"/>
              <w:jc w:val="center"/>
              <w:rPr>
                <w:rFonts w:ascii="宋体" w:hAnsi="宋体"/>
                <w:sz w:val="24"/>
              </w:rPr>
            </w:pPr>
            <w:r>
              <w:rPr>
                <w:rFonts w:hint="eastAsia" w:ascii="宋体" w:hAnsi="宋体" w:cs="黑体"/>
                <w:bCs/>
                <w:color w:val="000000"/>
                <w:sz w:val="24"/>
              </w:rPr>
              <w:t xml:space="preserve">招标文件要求</w:t>
            </w:r>
            <w:r>
              <w:rPr>
                <w:rFonts w:ascii="宋体" w:hAnsi="宋体"/>
                <w:sz w:val="24"/>
              </w:rPr>
            </w:r>
            <w:r/>
          </w:p>
        </w:tc>
        <w:tc>
          <w:tcPr>
            <w:tcW w:w="2268" w:type="dxa"/>
            <w:vAlign w:val="center"/>
            <w:textDirection w:val="lrTb"/>
            <w:noWrap w:val="false"/>
          </w:tcPr>
          <w:p>
            <w:pPr>
              <w:pStyle w:val="729"/>
              <w:jc w:val="center"/>
              <w:rPr>
                <w:rFonts w:ascii="宋体" w:hAnsi="宋体"/>
                <w:sz w:val="24"/>
              </w:rPr>
            </w:pPr>
            <w:r>
              <w:rPr>
                <w:rFonts w:hint="eastAsia" w:ascii="宋体" w:hAnsi="宋体" w:cs="黑体"/>
                <w:bCs/>
                <w:color w:val="000000"/>
                <w:sz w:val="24"/>
              </w:rPr>
              <w:t xml:space="preserve">投标文件内容</w:t>
            </w:r>
            <w:r>
              <w:rPr>
                <w:rFonts w:ascii="宋体" w:hAnsi="宋体"/>
                <w:sz w:val="24"/>
              </w:rPr>
            </w:r>
            <w:r/>
          </w:p>
        </w:tc>
        <w:tc>
          <w:tcPr>
            <w:tcW w:w="1548" w:type="dxa"/>
            <w:vAlign w:val="center"/>
            <w:textDirection w:val="lrTb"/>
            <w:noWrap w:val="false"/>
          </w:tcPr>
          <w:p>
            <w:pPr>
              <w:pStyle w:val="729"/>
              <w:ind w:firstLine="480"/>
              <w:jc w:val="center"/>
              <w:spacing w:line="360" w:lineRule="auto"/>
              <w:rPr>
                <w:rFonts w:hint="eastAsia" w:ascii="宋体" w:hAnsi="宋体" w:cs="黑体"/>
                <w:bCs/>
                <w:color w:val="000000"/>
                <w:sz w:val="24"/>
              </w:rPr>
            </w:pPr>
            <w:r>
              <w:rPr>
                <w:rFonts w:hint="eastAsia" w:ascii="宋体" w:hAnsi="宋体" w:cs="黑体"/>
                <w:bCs/>
                <w:color w:val="000000"/>
                <w:sz w:val="24"/>
              </w:rPr>
            </w:r>
            <w:r/>
          </w:p>
          <w:p>
            <w:pPr>
              <w:pStyle w:val="729"/>
              <w:jc w:val="center"/>
              <w:spacing w:line="360" w:lineRule="auto"/>
              <w:rPr>
                <w:rFonts w:hint="eastAsia" w:ascii="宋体" w:hAnsi="宋体" w:cs="黑体"/>
                <w:bCs/>
                <w:color w:val="000000"/>
                <w:sz w:val="24"/>
              </w:rPr>
            </w:pPr>
            <w:r>
              <w:rPr>
                <w:rFonts w:hint="eastAsia" w:ascii="宋体" w:hAnsi="宋体" w:cs="黑体"/>
                <w:bCs/>
                <w:color w:val="000000"/>
                <w:sz w:val="24"/>
              </w:rPr>
              <w:t xml:space="preserve">偏离情况</w:t>
            </w:r>
            <w:r/>
          </w:p>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r>
        <w:trPr>
          <w:cantSplit/>
          <w:trHeight w:val="640"/>
        </w:trPr>
        <w:tc>
          <w:tcPr>
            <w:tcW w:w="545" w:type="dxa"/>
            <w:vAlign w:val="top"/>
            <w:textDirection w:val="lrTb"/>
            <w:noWrap w:val="false"/>
          </w:tcPr>
          <w:p>
            <w:pPr>
              <w:pStyle w:val="729"/>
              <w:jc w:val="center"/>
              <w:rPr>
                <w:rFonts w:ascii="宋体" w:hAnsi="宋体"/>
                <w:sz w:val="24"/>
              </w:rPr>
            </w:pPr>
            <w:r>
              <w:rPr>
                <w:rFonts w:ascii="宋体" w:hAnsi="宋体"/>
                <w:sz w:val="24"/>
              </w:rPr>
            </w:r>
            <w:r/>
          </w:p>
        </w:tc>
        <w:tc>
          <w:tcPr>
            <w:tcW w:w="2257" w:type="dxa"/>
            <w:vAlign w:val="top"/>
            <w:textDirection w:val="lrTb"/>
            <w:noWrap w:val="false"/>
          </w:tcPr>
          <w:p>
            <w:pPr>
              <w:pStyle w:val="729"/>
              <w:jc w:val="center"/>
              <w:rPr>
                <w:rFonts w:ascii="宋体" w:hAnsi="宋体"/>
                <w:sz w:val="24"/>
              </w:rPr>
            </w:pPr>
            <w:r>
              <w:rPr>
                <w:rFonts w:ascii="宋体" w:hAnsi="宋体"/>
                <w:sz w:val="24"/>
              </w:rPr>
              <w:t xml:space="preserve">……</w:t>
            </w:r>
            <w:r/>
          </w:p>
        </w:tc>
        <w:tc>
          <w:tcPr>
            <w:tcW w:w="2551" w:type="dxa"/>
            <w:vAlign w:val="top"/>
            <w:textDirection w:val="lrTb"/>
            <w:noWrap w:val="false"/>
          </w:tcPr>
          <w:p>
            <w:pPr>
              <w:pStyle w:val="729"/>
              <w:jc w:val="center"/>
              <w:rPr>
                <w:rFonts w:ascii="宋体" w:hAnsi="宋体"/>
                <w:sz w:val="24"/>
              </w:rPr>
            </w:pPr>
            <w:r>
              <w:rPr>
                <w:rFonts w:ascii="宋体" w:hAnsi="宋体"/>
                <w:sz w:val="24"/>
              </w:rPr>
            </w:r>
            <w:r/>
          </w:p>
        </w:tc>
        <w:tc>
          <w:tcPr>
            <w:tcW w:w="2268" w:type="dxa"/>
            <w:vAlign w:val="top"/>
            <w:textDirection w:val="lrTb"/>
            <w:noWrap w:val="false"/>
          </w:tcPr>
          <w:p>
            <w:pPr>
              <w:pStyle w:val="729"/>
              <w:jc w:val="center"/>
              <w:rPr>
                <w:rFonts w:ascii="宋体" w:hAnsi="宋体"/>
                <w:sz w:val="24"/>
              </w:rPr>
            </w:pPr>
            <w:r>
              <w:rPr>
                <w:rFonts w:ascii="宋体" w:hAnsi="宋体"/>
                <w:sz w:val="24"/>
              </w:rPr>
            </w:r>
            <w:r/>
          </w:p>
        </w:tc>
        <w:tc>
          <w:tcPr>
            <w:tcW w:w="1548" w:type="dxa"/>
            <w:vAlign w:val="top"/>
            <w:textDirection w:val="lrTb"/>
            <w:noWrap w:val="false"/>
          </w:tcPr>
          <w:p>
            <w:pPr>
              <w:pStyle w:val="729"/>
              <w:jc w:val="center"/>
              <w:rPr>
                <w:rFonts w:ascii="宋体" w:hAnsi="宋体"/>
                <w:sz w:val="24"/>
              </w:rPr>
            </w:pPr>
            <w:r>
              <w:rPr>
                <w:rFonts w:ascii="宋体" w:hAnsi="宋体"/>
                <w:sz w:val="24"/>
              </w:rPr>
            </w:r>
            <w:r/>
          </w:p>
        </w:tc>
      </w:tr>
    </w:tbl>
    <w:p>
      <w:pPr>
        <w:pStyle w:val="729"/>
        <w:rPr>
          <w:rFonts w:ascii="宋体" w:hAnsi="宋体"/>
          <w:sz w:val="24"/>
        </w:rPr>
      </w:pPr>
      <w:r>
        <w:rPr>
          <w:rFonts w:hint="eastAsia" w:ascii="宋体" w:hAnsi="宋体"/>
          <w:sz w:val="24"/>
        </w:rPr>
        <w:t xml:space="preserve">注： 行数不够，可自行添加。</w:t>
      </w:r>
      <w:r>
        <w:rPr>
          <w:rFonts w:ascii="宋体" w:hAnsi="宋体"/>
          <w:sz w:val="24"/>
        </w:rPr>
      </w:r>
      <w:r/>
    </w:p>
    <w:p>
      <w:pPr>
        <w:pStyle w:val="729"/>
        <w:spacing w:line="360" w:lineRule="auto"/>
        <w:rPr>
          <w:rFonts w:ascii="宋体" w:hAnsi="宋体" w:cs="宋体"/>
          <w:color w:val="000000"/>
          <w:sz w:val="20"/>
          <w:szCs w:val="21"/>
          <w:lang w:bidi="ar"/>
        </w:rPr>
      </w:pPr>
      <w:r>
        <w:rPr>
          <w:rFonts w:ascii="宋体" w:hAnsi="宋体" w:cs="宋体"/>
          <w:color w:val="000000"/>
          <w:sz w:val="20"/>
          <w:szCs w:val="21"/>
          <w:lang w:bidi="ar"/>
        </w:rPr>
      </w:r>
      <w:r/>
    </w:p>
    <w:p>
      <w:pPr>
        <w:pStyle w:val="729"/>
        <w:ind w:firstLine="4920"/>
        <w:spacing w:line="360" w:lineRule="auto"/>
        <w:rPr>
          <w:rFonts w:hint="eastAsia" w:ascii="黑体" w:eastAsia="黑体" w:cs="黑体"/>
          <w:bCs/>
          <w:color w:val="ff0000"/>
          <w:sz w:val="24"/>
          <w:lang w:bidi="ar"/>
        </w:rPr>
      </w:pPr>
      <w:r>
        <w:rPr>
          <w:rFonts w:hint="eastAsia" w:ascii="黑体" w:eastAsia="黑体" w:cs="黑体"/>
          <w:bCs/>
          <w:color w:val="ff0000"/>
          <w:sz w:val="24"/>
          <w:lang w:bidi="ar"/>
        </w:rPr>
        <w:t xml:space="preserve">供应商名称：（加盖CA电子公章）  </w:t>
      </w:r>
      <w:r/>
    </w:p>
    <w:p>
      <w:pPr>
        <w:pStyle w:val="729"/>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rPr>
          <w:rFonts w:hint="eastAsia" w:ascii="黑体" w:eastAsia="黑体" w:cs="黑体"/>
          <w:bCs/>
          <w:color w:val="000000"/>
          <w:sz w:val="24"/>
          <w:lang w:bidi="ar"/>
        </w:rPr>
      </w:r>
      <w:r/>
    </w:p>
    <w:p>
      <w:pPr>
        <w:pStyle w:val="729"/>
        <w:ind w:firstLine="480"/>
        <w:spacing w:line="360" w:lineRule="auto"/>
        <w:rPr>
          <w:rFonts w:ascii="宋体" w:hAnsi="宋体"/>
          <w:sz w:val="24"/>
        </w:rPr>
      </w:pPr>
      <w:r>
        <w:rPr>
          <w:rFonts w:hint="eastAsia" w:ascii="宋体" w:hAnsi="宋体"/>
          <w:sz w:val="24"/>
        </w:rPr>
        <w:t xml:space="preserve">注意事项：如供应商提供的货物或服务或工程与招标文件的要求存在偏离，偏离情况可填写“正</w:t>
      </w:r>
      <w:r>
        <w:rPr>
          <w:rFonts w:hint="eastAsia" w:ascii="宋体" w:hAnsi="宋体"/>
          <w:sz w:val="24"/>
        </w:rPr>
        <w:t xml:space="preserve">偏离”或“负偏离”。</w:t>
      </w:r>
      <w:r>
        <w:rPr>
          <w:rFonts w:ascii="宋体" w:hAnsi="宋体"/>
          <w:sz w:val="24"/>
        </w:rPr>
      </w:r>
      <w:r/>
    </w:p>
    <w:p>
      <w:pPr>
        <w:pStyle w:val="729"/>
        <w:jc w:val="center"/>
        <w:keepLines/>
        <w:keepNext/>
        <w:spacing w:after="240" w:line="360" w:lineRule="auto"/>
        <w:widowControl/>
        <w:outlineLvl w:val="0"/>
      </w:pPr>
      <w:r/>
      <w:r/>
    </w:p>
    <w:p>
      <w:pPr>
        <w:pStyle w:val="807"/>
      </w:pPr>
      <w:r/>
      <w:r/>
    </w:p>
    <w:p>
      <w:pPr>
        <w:pStyle w:val="807"/>
      </w:pPr>
      <w:r/>
      <w:r/>
    </w:p>
    <w:p>
      <w:pPr>
        <w:pStyle w:val="807"/>
      </w:pPr>
      <w:r/>
      <w:r/>
    </w:p>
    <w:p>
      <w:pPr>
        <w:pStyle w:val="807"/>
      </w:pPr>
      <w:r/>
      <w:r/>
    </w:p>
    <w:p>
      <w:pPr>
        <w:pStyle w:val="729"/>
        <w:spacing w:line="360" w:lineRule="auto"/>
        <w:rPr>
          <w:rFonts w:hint="eastAsia"/>
          <w:sz w:val="20"/>
          <w:szCs w:val="20"/>
        </w:rPr>
      </w:pPr>
      <w:r>
        <w:rPr>
          <w:rFonts w:hint="eastAsia"/>
          <w:sz w:val="20"/>
          <w:szCs w:val="20"/>
        </w:rPr>
      </w:r>
      <w:r/>
    </w:p>
    <w:p>
      <w:pPr>
        <w:pStyle w:val="729"/>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29"/>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29"/>
        <w:spacing w:line="360" w:lineRule="auto"/>
        <w:rPr>
          <w:rFonts w:ascii="宋体" w:hAnsi="宋体"/>
          <w:sz w:val="22"/>
        </w:rPr>
      </w:pPr>
      <w:r>
        <w:rPr>
          <w:rFonts w:ascii="宋体" w:hAnsi="宋体"/>
          <w:sz w:val="22"/>
        </w:rPr>
      </w:r>
      <w:r/>
    </w:p>
    <w:p>
      <w:pPr>
        <w:pStyle w:val="72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29"/>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29"/>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29"/>
        <w:tabs>
          <w:tab w:val="left" w:pos="9765" w:leader="none"/>
        </w:tabs>
        <w:rPr>
          <w:rFonts w:ascii="宋体" w:hAnsi="宋体" w:cs="宋体"/>
          <w:b/>
          <w:sz w:val="24"/>
          <w:lang w:val="zh-CN"/>
        </w:rPr>
      </w:pPr>
      <w:r>
        <w:rPr>
          <w:rFonts w:ascii="宋体" w:hAnsi="宋体" w:cs="宋体"/>
          <w:b/>
          <w:sz w:val="24"/>
          <w:lang w:val="zh-CN"/>
        </w:rPr>
      </w:r>
      <w:r/>
    </w:p>
    <w:p>
      <w:pPr>
        <w:pStyle w:val="729"/>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29"/>
        <w:spacing w:line="360" w:lineRule="auto"/>
        <w:rPr>
          <w:rFonts w:ascii="宋体" w:hAnsi="宋体"/>
          <w:sz w:val="24"/>
        </w:rPr>
      </w:pPr>
      <w:r>
        <w:rPr>
          <w:rFonts w:ascii="宋体" w:hAnsi="宋体"/>
          <w:sz w:val="24"/>
        </w:rPr>
      </w:r>
      <w:r/>
    </w:p>
    <w:p>
      <w:pPr>
        <w:pStyle w:val="807"/>
        <w:ind w:firstLine="4560"/>
        <w:rPr>
          <w:rFonts w:ascii="宋体" w:hAnsi="宋体" w:cs="楷体"/>
          <w:color w:val="ff0000"/>
        </w:rPr>
      </w:pPr>
      <w:r>
        <w:rPr>
          <w:rFonts w:hint="eastAsia" w:ascii="宋体" w:hAnsi="宋体"/>
          <w:bCs/>
          <w:color w:val="ff0000"/>
        </w:rPr>
        <w:t xml:space="preserve">投标单位名称：</w:t>
      </w:r>
      <w:r>
        <w:rPr>
          <w:rFonts w:hint="eastAsia" w:ascii="宋体" w:hAnsi="宋体" w:cs="楷体"/>
          <w:color w:val="ff0000"/>
        </w:rPr>
        <w:t xml:space="preserve">（加盖CA电子公章）</w:t>
      </w:r>
      <w:r>
        <w:rPr>
          <w:rFonts w:ascii="宋体" w:hAnsi="宋体" w:cs="楷体"/>
          <w:color w:val="ff0000"/>
        </w:rPr>
      </w:r>
      <w:r/>
    </w:p>
    <w:p>
      <w:pPr>
        <w:pStyle w:val="807"/>
        <w:ind w:firstLine="4560"/>
        <w:rPr>
          <w:lang w:bidi="ar"/>
        </w:rPr>
      </w:pPr>
      <w:r>
        <w:rPr>
          <w:rFonts w:ascii="黑体" w:eastAsia="黑体" w:cs="黑体"/>
          <w:bCs/>
          <w:lang w:bidi="ar"/>
        </w:rPr>
        <w:t xml:space="preserve">日期：_____年______月______日</w:t>
      </w:r>
      <w:r>
        <w:rPr>
          <w:lang w:bidi="ar"/>
        </w:rPr>
      </w:r>
      <w:r/>
    </w:p>
    <w:p>
      <w:pPr>
        <w:pStyle w:val="729"/>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29"/>
        <w:jc w:val="center"/>
        <w:spacing w:line="360" w:lineRule="auto"/>
        <w:rPr>
          <w:rFonts w:ascii="宋体" w:hAnsi="宋体"/>
          <w:b/>
          <w:sz w:val="28"/>
          <w:szCs w:val="30"/>
        </w:rPr>
      </w:pPr>
      <w:r>
        <w:rPr>
          <w:rFonts w:ascii="宋体" w:hAnsi="宋体"/>
          <w:b/>
          <w:sz w:val="28"/>
          <w:szCs w:val="30"/>
        </w:rPr>
      </w:r>
      <w:r/>
    </w:p>
    <w:p>
      <w:pPr>
        <w:pStyle w:val="72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9"/>
              <w:spacing w:line="360" w:lineRule="auto"/>
              <w:tabs>
                <w:tab w:val="left" w:pos="9765" w:leader="none"/>
              </w:tabs>
              <w:rPr>
                <w:rFonts w:ascii="宋体" w:hAnsi="宋体" w:cs="宋体"/>
                <w:sz w:val="24"/>
              </w:rPr>
            </w:pPr>
            <w:r>
              <w:rPr>
                <w:rFonts w:ascii="宋体" w:hAnsi="宋体" w:cs="宋体"/>
                <w:sz w:val="24"/>
              </w:rPr>
            </w:r>
            <w:r/>
          </w:p>
        </w:tc>
      </w:tr>
    </w:tbl>
    <w:p>
      <w:pPr>
        <w:pStyle w:val="729"/>
        <w:tabs>
          <w:tab w:val="left" w:pos="9765" w:leader="none"/>
        </w:tabs>
        <w:rPr>
          <w:rFonts w:ascii="宋体" w:hAnsi="宋体" w:cs="宋体"/>
          <w:sz w:val="24"/>
          <w:lang w:val="zh-CN"/>
        </w:rPr>
      </w:pPr>
      <w:r>
        <w:rPr>
          <w:rFonts w:ascii="宋体" w:hAnsi="宋体" w:cs="宋体"/>
          <w:sz w:val="24"/>
          <w:lang w:val="zh-CN"/>
        </w:rPr>
      </w:r>
      <w:r/>
    </w:p>
    <w:p>
      <w:pPr>
        <w:pStyle w:val="729"/>
        <w:spacing w:line="360" w:lineRule="auto"/>
        <w:rPr>
          <w:rFonts w:ascii="宋体" w:hAnsi="宋体" w:cs="宋体"/>
          <w:sz w:val="24"/>
        </w:rPr>
      </w:pPr>
      <w:r>
        <w:rPr>
          <w:rFonts w:ascii="宋体" w:hAnsi="宋体" w:cs="宋体"/>
          <w:sz w:val="24"/>
        </w:rPr>
      </w:r>
      <w:r/>
    </w:p>
    <w:p>
      <w:pPr>
        <w:pStyle w:val="729"/>
        <w:spacing w:line="360" w:lineRule="auto"/>
        <w:rPr>
          <w:rFonts w:hint="eastAsia" w:ascii="黑体" w:eastAsia="黑体" w:cs="黑体"/>
          <w:bCs/>
          <w:color w:val="000000"/>
          <w:sz w:val="24"/>
          <w:lang w:bidi="ar"/>
        </w:rPr>
      </w:pPr>
      <w:r>
        <w:rPr>
          <w:rFonts w:hint="eastAsia" w:ascii="宋体" w:hAnsi="宋体"/>
          <w:bCs/>
          <w:color w:val="ff0000"/>
          <w:sz w:val="24"/>
        </w:rPr>
        <w:t xml:space="preserve">投标单位名称：</w:t>
      </w:r>
      <w:r>
        <w:rPr>
          <w:rFonts w:hint="eastAsia" w:ascii="宋体" w:hAnsi="宋体" w:cs="楷体"/>
          <w:color w:val="ff0000"/>
          <w:sz w:val="24"/>
        </w:rPr>
        <w:t xml:space="preserve">（加盖CA电子公章）</w:t>
      </w:r>
      <w:r>
        <w:rPr>
          <w:rFonts w:hint="eastAsia" w:ascii="黑体" w:eastAsia="黑体" w:cs="黑体"/>
          <w:bCs/>
          <w:color w:val="000000"/>
          <w:sz w:val="24"/>
          <w:lang w:bidi="ar"/>
        </w:rPr>
        <w:t xml:space="preserve">  </w:t>
      </w:r>
      <w:r/>
    </w:p>
    <w:p>
      <w:pPr>
        <w:pStyle w:val="807"/>
        <w:rPr>
          <w:lang w:bidi="ar"/>
        </w:rPr>
      </w:pPr>
      <w:r>
        <w:rPr>
          <w:rFonts w:ascii="黑体" w:eastAsia="黑体" w:cs="黑体"/>
          <w:bCs/>
          <w:lang w:bidi="ar"/>
        </w:rPr>
        <w:t xml:space="preserve">日期：_____年______月______日</w:t>
      </w:r>
      <w:r>
        <w:rPr>
          <w:lang w:bidi="ar"/>
        </w:rPr>
      </w:r>
      <w:r/>
    </w:p>
    <w:p>
      <w:pPr>
        <w:pStyle w:val="729"/>
        <w:keepLines/>
        <w:keepNext/>
        <w:spacing w:before="260" w:after="260" w:line="415" w:lineRule="auto"/>
        <w:rPr>
          <w:rFonts w:ascii="宋体" w:hAnsi="宋体"/>
          <w:b/>
          <w:color w:val="000000"/>
          <w:sz w:val="24"/>
        </w:rPr>
        <w:outlineLvl w:val="2"/>
      </w:pPr>
      <w:r>
        <w:rPr>
          <w:rFonts w:ascii="宋体" w:hAnsi="宋体"/>
          <w:b/>
          <w:color w:val="000000"/>
          <w:sz w:val="24"/>
        </w:r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807"/>
      </w:pPr>
      <w:r/>
      <w:r/>
    </w:p>
    <w:p>
      <w:pPr>
        <w:pStyle w:val="729"/>
        <w:jc w:val="center"/>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29"/>
        <w:jc w:val="left"/>
        <w:spacing w:line="360" w:lineRule="auto"/>
        <w:widowControl/>
        <w:rPr>
          <w:rFonts w:ascii="宋体" w:hAnsi="宋体"/>
          <w:color w:val="000000"/>
          <w:sz w:val="24"/>
        </w:rPr>
      </w:pPr>
      <w:r>
        <w:rPr>
          <w:rFonts w:ascii="宋体" w:hAnsi="宋体"/>
          <w:color w:val="000000"/>
          <w:sz w:val="24"/>
        </w:rPr>
      </w:r>
      <w:r/>
    </w:p>
    <w:p>
      <w:pPr>
        <w:pStyle w:val="729"/>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rPr>
          <w:rFonts w:hint="eastAsia" w:ascii="宋体" w:hAnsi="宋体"/>
          <w:color w:val="000000"/>
          <w:sz w:val="24"/>
          <w:u w:val="single"/>
        </w:rPr>
      </w:r>
      <w:r/>
    </w:p>
    <w:p>
      <w:pPr>
        <w:pStyle w:val="729"/>
        <w:jc w:val="left"/>
        <w:spacing w:line="360" w:lineRule="auto"/>
        <w:widowControl/>
        <w:rPr>
          <w:rFonts w:hint="eastAsia" w:ascii="宋体" w:hAnsi="宋体"/>
          <w:color w:val="000000"/>
          <w:sz w:val="24"/>
        </w:rPr>
      </w:pPr>
      <w:r>
        <w:rPr>
          <w:rFonts w:hint="eastAsia" w:ascii="宋体" w:hAnsi="宋体"/>
          <w:color w:val="000000"/>
          <w:sz w:val="24"/>
        </w:rPr>
        <w:t xml:space="preserve">采购</w:t>
      </w:r>
      <w:r>
        <w:rPr>
          <w:rFonts w:hint="eastAsia" w:ascii="宋体" w:hAnsi="宋体"/>
          <w:color w:val="000000"/>
          <w:sz w:val="24"/>
        </w:rPr>
        <w:t xml:space="preserve">编号：</w:t>
      </w:r>
      <w:r/>
    </w:p>
    <w:p>
      <w:pPr>
        <w:pStyle w:val="729"/>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72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9"/>
        <w:spacing w:line="360" w:lineRule="auto"/>
        <w:rPr>
          <w:sz w:val="24"/>
        </w:rPr>
      </w:pPr>
      <w:r>
        <w:rPr>
          <w:rFonts w:hint="eastAsia"/>
          <w:sz w:val="24"/>
        </w:rPr>
        <w:t xml:space="preserve">被授权人姓名：</w:t>
      </w:r>
      <w:r>
        <w:rPr>
          <w:sz w:val="24"/>
          <w:u w:val="single"/>
        </w:rPr>
        <w:t xml:space="preserve">                   </w:t>
      </w:r>
      <w:r>
        <w:rPr>
          <w:sz w:val="24"/>
        </w:rPr>
      </w:r>
      <w:r/>
    </w:p>
    <w:p>
      <w:pPr>
        <w:pStyle w:val="729"/>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pStyle w:val="729"/>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807"/>
        <w:rPr>
          <w:color w:val="000000"/>
        </w:rPr>
      </w:pPr>
      <w:r>
        <w:rPr>
          <w:color w:val="000000"/>
        </w:rPr>
      </w:r>
      <w:r/>
    </w:p>
    <w:p>
      <w:pPr>
        <w:pStyle w:val="807"/>
      </w:pPr>
      <w:r/>
      <w:r/>
    </w:p>
    <w:p>
      <w:pPr>
        <w:pStyle w:val="807"/>
      </w:pPr>
      <w:r/>
      <w:r/>
    </w:p>
    <w:p>
      <w:pPr>
        <w:pStyle w:val="807"/>
      </w:pPr>
      <w:r/>
      <w:r/>
    </w:p>
    <w:p>
      <w:pPr>
        <w:pStyle w:val="729"/>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9"/>
        <w:ind w:left="3360" w:firstLine="960"/>
        <w:jc w:val="left"/>
        <w:spacing w:line="360" w:lineRule="auto"/>
        <w:widowControl/>
        <w:rPr>
          <w:rFonts w:ascii="宋体" w:hAnsi="宋体" w:cs="楷体"/>
          <w:color w:val="ff0000"/>
          <w:sz w:val="24"/>
        </w:rPr>
      </w:pPr>
      <w:r>
        <w:rPr>
          <w:rFonts w:hint="eastAsia" w:ascii="宋体" w:hAnsi="宋体"/>
          <w:bCs/>
          <w:color w:val="ff0000"/>
          <w:sz w:val="24"/>
        </w:rPr>
        <w:t xml:space="preserve">投标单位名称：</w:t>
      </w:r>
      <w:r>
        <w:rPr>
          <w:rFonts w:hint="eastAsia" w:ascii="宋体" w:hAnsi="宋体" w:cs="楷体"/>
          <w:color w:val="ff0000"/>
          <w:sz w:val="24"/>
        </w:rPr>
        <w:t xml:space="preserve">（加盖公章）</w:t>
      </w:r>
      <w:r>
        <w:rPr>
          <w:rFonts w:ascii="宋体" w:hAnsi="宋体" w:cs="楷体"/>
          <w:color w:val="ff0000"/>
          <w:sz w:val="24"/>
        </w:rPr>
      </w:r>
      <w:r/>
    </w:p>
    <w:p>
      <w:pPr>
        <w:pStyle w:val="729"/>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729"/>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rPr>
          <w:rFonts w:hint="eastAsia"/>
          <w:color w:val="000000"/>
          <w:sz w:val="20"/>
          <w:szCs w:val="20"/>
        </w:rPr>
      </w:r>
      <w:r/>
    </w:p>
    <w:p>
      <w:pPr>
        <w:pStyle w:val="807"/>
      </w:pPr>
      <w:r/>
      <w:r/>
    </w:p>
    <w:p>
      <w:pPr>
        <w:pStyle w:val="807"/>
      </w:pPr>
      <w:r/>
      <w:r/>
    </w:p>
    <w:p>
      <w:pPr>
        <w:pStyle w:val="807"/>
      </w:pPr>
      <w:r/>
      <w:r/>
    </w:p>
    <w:p>
      <w:pPr>
        <w:pStyle w:val="807"/>
      </w:pPr>
      <w:r/>
      <w:r/>
    </w:p>
    <w:p>
      <w:pPr>
        <w:pStyle w:val="807"/>
      </w:pPr>
      <w:r/>
      <w:r/>
    </w:p>
    <w:sectPr>
      <w:headerReference w:type="even" r:id="rId9"/>
      <w:headerReference w:type="first" r:id="rId10"/>
      <w:footerReference w:type="even" r:id="rId13"/>
      <w:footerReference w:type="first" r:id="rId14"/>
      <w:footnotePr/>
      <w:endnotePr/>
      <w:type w:val="nextPage"/>
      <w:pgSz w:w="11906" w:h="16838" w:orient="portrait"/>
      <w:pgMar w:top="1134" w:right="1134" w:bottom="1276" w:left="1134"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w:fldChar w:fldCharType="begin"/>
    </w:r>
    <w:r>
      <w:instrText xml:space="preserve">PAGE   \* MERGEFORMAT</w:instrText>
    </w:r>
    <w:r>
      <w:fldChar w:fldCharType="separate"/>
    </w:r>
    <w:r>
      <w:rPr>
        <w:lang w:val="zh-CN"/>
      </w:rPr>
      <w:t xml:space="preserve">33</w:t>
    </w:r>
    <w:r>
      <w:fldChar w:fldCharType="end"/>
    </w:r>
    <w:r/>
  </w:p>
  <w:p>
    <w:pPr>
      <w:pStyle w:val="7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9"/>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2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节"/>
      <w:lvlJc w:val="left"/>
      <w:pPr>
        <w:pStyle w:val="7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29"/>
        <w:ind w:left="360" w:hanging="360"/>
      </w:pPr>
    </w:lvl>
    <w:lvl w:ilvl="1">
      <w:start w:val="1"/>
      <w:numFmt w:val="lowerLetter"/>
      <w:isLgl w:val="false"/>
      <w:suff w:val="tab"/>
      <w:lvlText w:val="%2)"/>
      <w:lvlJc w:val="left"/>
      <w:pPr>
        <w:pStyle w:val="729"/>
        <w:ind w:left="880" w:hanging="440"/>
      </w:pPr>
    </w:lvl>
    <w:lvl w:ilvl="2">
      <w:start w:val="1"/>
      <w:numFmt w:val="lowerRoman"/>
      <w:isLgl w:val="false"/>
      <w:suff w:val="tab"/>
      <w:lvlText w:val="%3."/>
      <w:lvlJc w:val="right"/>
      <w:pPr>
        <w:pStyle w:val="729"/>
        <w:ind w:left="1320" w:hanging="440"/>
      </w:pPr>
    </w:lvl>
    <w:lvl w:ilvl="3">
      <w:start w:val="1"/>
      <w:numFmt w:val="decimal"/>
      <w:isLgl w:val="false"/>
      <w:suff w:val="tab"/>
      <w:lvlText w:val="%4."/>
      <w:lvlJc w:val="left"/>
      <w:pPr>
        <w:pStyle w:val="729"/>
        <w:ind w:left="1760" w:hanging="440"/>
      </w:pPr>
    </w:lvl>
    <w:lvl w:ilvl="4">
      <w:start w:val="1"/>
      <w:numFmt w:val="lowerLetter"/>
      <w:isLgl w:val="false"/>
      <w:suff w:val="tab"/>
      <w:lvlText w:val="%5)"/>
      <w:lvlJc w:val="left"/>
      <w:pPr>
        <w:pStyle w:val="729"/>
        <w:ind w:left="2200" w:hanging="440"/>
      </w:pPr>
    </w:lvl>
    <w:lvl w:ilvl="5">
      <w:start w:val="1"/>
      <w:numFmt w:val="lowerRoman"/>
      <w:isLgl w:val="false"/>
      <w:suff w:val="tab"/>
      <w:lvlText w:val="%6."/>
      <w:lvlJc w:val="right"/>
      <w:pPr>
        <w:pStyle w:val="729"/>
        <w:ind w:left="2640" w:hanging="440"/>
      </w:pPr>
    </w:lvl>
    <w:lvl w:ilvl="6">
      <w:start w:val="1"/>
      <w:numFmt w:val="decimal"/>
      <w:isLgl w:val="false"/>
      <w:suff w:val="tab"/>
      <w:lvlText w:val="%7."/>
      <w:lvlJc w:val="left"/>
      <w:pPr>
        <w:pStyle w:val="729"/>
        <w:ind w:left="3080" w:hanging="440"/>
      </w:pPr>
    </w:lvl>
    <w:lvl w:ilvl="7">
      <w:start w:val="1"/>
      <w:numFmt w:val="lowerLetter"/>
      <w:isLgl w:val="false"/>
      <w:suff w:val="tab"/>
      <w:lvlText w:val="%8)"/>
      <w:lvlJc w:val="left"/>
      <w:pPr>
        <w:pStyle w:val="729"/>
        <w:ind w:left="3520" w:hanging="440"/>
      </w:pPr>
    </w:lvl>
    <w:lvl w:ilvl="8">
      <w:start w:val="1"/>
      <w:numFmt w:val="lowerRoman"/>
      <w:isLgl w:val="false"/>
      <w:suff w:val="tab"/>
      <w:lvlText w:val="%9."/>
      <w:lvlJc w:val="right"/>
      <w:pPr>
        <w:pStyle w:val="729"/>
        <w:ind w:left="3960" w:hanging="440"/>
      </w:pPr>
    </w:lvl>
  </w:abstractNum>
  <w:abstractNum w:abstractNumId="4">
    <w:multiLevelType w:val="hybridMultilevel"/>
    <w:lvl w:ilvl="0">
      <w:start w:val="1"/>
      <w:numFmt w:val="chineseCounting"/>
      <w:isLgl w:val="false"/>
      <w:suff w:val="space"/>
      <w:lvlText w:val="第%1章"/>
      <w:lvlJc w:val="left"/>
      <w:pPr>
        <w:pStyle w:val="72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3"/>
      <w:numFmt w:val="upperLetter"/>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8">
    <w:multiLevelType w:val="hybridMultilevel"/>
    <w:lvl w:ilvl="0">
      <w:start w:val="1"/>
      <w:numFmt w:val="decimal"/>
      <w:pStyle w:val="838"/>
      <w:isLgl w:val="false"/>
      <w:suff w:val="tab"/>
      <w:lvlText w:val="%1."/>
      <w:lvlJc w:val="left"/>
      <w:pPr>
        <w:pStyle w:val="729"/>
        <w:ind w:left="420" w:hanging="420"/>
      </w:pPr>
    </w:lvl>
    <w:lvl w:ilvl="1">
      <w:start w:val="1"/>
      <w:numFmt w:val="decimal"/>
      <w:isLgl w:val="false"/>
      <w:suff w:val="tab"/>
      <w:lvlText w:val="（%2）"/>
      <w:lvlJc w:val="left"/>
      <w:pPr>
        <w:pStyle w:val="729"/>
        <w:ind w:left="1140" w:hanging="720"/>
        <w:tabs>
          <w:tab w:val="num" w:pos="1140" w:leader="none"/>
        </w:tabs>
      </w:pPr>
      <w:rPr>
        <w:rFonts w:hint="eastAsia"/>
      </w:rPr>
    </w:lvl>
    <w:lvl w:ilvl="2">
      <w:start w:val="1"/>
      <w:numFmt w:val="lowerRoman"/>
      <w:isLgl w:val="false"/>
      <w:suff w:val="tab"/>
      <w:lvlText w:val="%3."/>
      <w:lvlJc w:val="right"/>
      <w:pPr>
        <w:pStyle w:val="729"/>
        <w:ind w:left="1260" w:hanging="420"/>
      </w:pPr>
    </w:lvl>
    <w:lvl w:ilvl="3">
      <w:start w:val="1"/>
      <w:numFmt w:val="decimal"/>
      <w:isLgl w:val="false"/>
      <w:suff w:val="tab"/>
      <w:lvlText w:val="%4."/>
      <w:lvlJc w:val="left"/>
      <w:pPr>
        <w:pStyle w:val="729"/>
        <w:ind w:left="1680" w:hanging="420"/>
      </w:pPr>
    </w:lvl>
    <w:lvl w:ilvl="4">
      <w:start w:val="1"/>
      <w:numFmt w:val="lowerLetter"/>
      <w:isLgl w:val="false"/>
      <w:suff w:val="tab"/>
      <w:lvlText w:val="%5)"/>
      <w:lvlJc w:val="left"/>
      <w:pPr>
        <w:pStyle w:val="729"/>
        <w:ind w:left="2100" w:hanging="420"/>
      </w:pPr>
    </w:lvl>
    <w:lvl w:ilvl="5">
      <w:start w:val="1"/>
      <w:numFmt w:val="lowerRoman"/>
      <w:isLgl w:val="false"/>
      <w:suff w:val="tab"/>
      <w:lvlText w:val="%6."/>
      <w:lvlJc w:val="right"/>
      <w:pPr>
        <w:pStyle w:val="729"/>
        <w:ind w:left="2520" w:hanging="420"/>
      </w:pPr>
    </w:lvl>
    <w:lvl w:ilvl="6">
      <w:start w:val="1"/>
      <w:numFmt w:val="decimal"/>
      <w:isLgl w:val="false"/>
      <w:suff w:val="tab"/>
      <w:lvlText w:val="%7."/>
      <w:lvlJc w:val="left"/>
      <w:pPr>
        <w:pStyle w:val="729"/>
        <w:ind w:left="2940" w:hanging="420"/>
      </w:pPr>
    </w:lvl>
    <w:lvl w:ilvl="7">
      <w:start w:val="1"/>
      <w:numFmt w:val="lowerLetter"/>
      <w:isLgl w:val="false"/>
      <w:suff w:val="tab"/>
      <w:lvlText w:val="%8)"/>
      <w:lvlJc w:val="left"/>
      <w:pPr>
        <w:pStyle w:val="729"/>
        <w:ind w:left="3360" w:hanging="420"/>
      </w:pPr>
    </w:lvl>
    <w:lvl w:ilvl="8">
      <w:start w:val="1"/>
      <w:numFmt w:val="lowerRoman"/>
      <w:isLgl w:val="false"/>
      <w:suff w:val="tab"/>
      <w:lvlText w:val="%9."/>
      <w:lvlJc w:val="right"/>
      <w:pPr>
        <w:pStyle w:val="729"/>
        <w:ind w:left="3780" w:hanging="420"/>
      </w:pPr>
    </w:lvl>
  </w:abstractNum>
  <w:abstractNum w:abstractNumId="9">
    <w:multiLevelType w:val="hybridMultilevel"/>
    <w:lvl w:ilvl="0">
      <w:start w:val="1"/>
      <w:numFmt w:val="lowerLetter"/>
      <w:pStyle w:val="912"/>
      <w:isLgl w:val="false"/>
      <w:suff w:val="tab"/>
      <w:lvlText w:val="%1)"/>
      <w:lvlJc w:val="left"/>
      <w:pPr>
        <w:pStyle w:val="729"/>
        <w:ind w:left="902" w:hanging="420"/>
      </w:pPr>
      <w:rPr>
        <w:color w:val="000000"/>
      </w:rPr>
    </w:lvl>
    <w:lvl w:ilvl="1">
      <w:start w:val="1"/>
      <w:numFmt w:val="lowerLetter"/>
      <w:isLgl w:val="false"/>
      <w:suff w:val="tab"/>
      <w:lvlText w:val="%2)"/>
      <w:lvlJc w:val="left"/>
      <w:pPr>
        <w:pStyle w:val="729"/>
        <w:ind w:left="1322" w:hanging="420"/>
      </w:pPr>
    </w:lvl>
    <w:lvl w:ilvl="2">
      <w:start w:val="1"/>
      <w:numFmt w:val="lowerRoman"/>
      <w:isLgl w:val="false"/>
      <w:suff w:val="tab"/>
      <w:lvlText w:val="%3."/>
      <w:lvlJc w:val="right"/>
      <w:pPr>
        <w:pStyle w:val="729"/>
        <w:ind w:left="1742" w:hanging="420"/>
      </w:pPr>
    </w:lvl>
    <w:lvl w:ilvl="3">
      <w:start w:val="1"/>
      <w:numFmt w:val="decimal"/>
      <w:isLgl w:val="false"/>
      <w:suff w:val="tab"/>
      <w:lvlText w:val="%4."/>
      <w:lvlJc w:val="left"/>
      <w:pPr>
        <w:pStyle w:val="729"/>
        <w:ind w:left="2162" w:hanging="420"/>
      </w:pPr>
    </w:lvl>
    <w:lvl w:ilvl="4">
      <w:start w:val="1"/>
      <w:numFmt w:val="lowerLetter"/>
      <w:isLgl w:val="false"/>
      <w:suff w:val="tab"/>
      <w:lvlText w:val="%5)"/>
      <w:lvlJc w:val="left"/>
      <w:pPr>
        <w:pStyle w:val="729"/>
        <w:ind w:left="2582" w:hanging="420"/>
      </w:pPr>
    </w:lvl>
    <w:lvl w:ilvl="5">
      <w:start w:val="1"/>
      <w:numFmt w:val="lowerRoman"/>
      <w:isLgl w:val="false"/>
      <w:suff w:val="tab"/>
      <w:lvlText w:val="%6."/>
      <w:lvlJc w:val="right"/>
      <w:pPr>
        <w:pStyle w:val="729"/>
        <w:ind w:left="3002" w:hanging="420"/>
      </w:pPr>
    </w:lvl>
    <w:lvl w:ilvl="6">
      <w:start w:val="1"/>
      <w:numFmt w:val="decimal"/>
      <w:isLgl w:val="false"/>
      <w:suff w:val="tab"/>
      <w:lvlText w:val="%7."/>
      <w:lvlJc w:val="left"/>
      <w:pPr>
        <w:pStyle w:val="729"/>
        <w:ind w:left="3422" w:hanging="420"/>
      </w:pPr>
    </w:lvl>
    <w:lvl w:ilvl="7">
      <w:start w:val="1"/>
      <w:numFmt w:val="lowerLetter"/>
      <w:isLgl w:val="false"/>
      <w:suff w:val="tab"/>
      <w:lvlText w:val="%8)"/>
      <w:lvlJc w:val="left"/>
      <w:pPr>
        <w:pStyle w:val="729"/>
        <w:ind w:left="3842" w:hanging="420"/>
      </w:pPr>
    </w:lvl>
    <w:lvl w:ilvl="8">
      <w:start w:val="1"/>
      <w:numFmt w:val="lowerRoman"/>
      <w:isLgl w:val="false"/>
      <w:suff w:val="tab"/>
      <w:lvlText w:val="%9."/>
      <w:lvlJc w:val="right"/>
      <w:pPr>
        <w:pStyle w:val="729"/>
        <w:ind w:left="4262" w:hanging="420"/>
      </w:pPr>
    </w:lvl>
  </w:abstractNum>
  <w:abstractNum w:abstractNumId="10">
    <w:multiLevelType w:val="hybridMultilevel"/>
    <w:lvl w:ilvl="0">
      <w:start w:val="1"/>
      <w:numFmt w:val="decimal"/>
      <w:isLgl w:val="false"/>
      <w:suff w:val="tab"/>
      <w:lvlText w:val="%1."/>
      <w:lvlJc w:val="left"/>
      <w:pPr>
        <w:pStyle w:val="729"/>
        <w:ind w:left="1965" w:hanging="705"/>
        <w:tabs>
          <w:tab w:val="num" w:pos="1965" w:leader="none"/>
        </w:tabs>
      </w:pPr>
    </w:lvl>
    <w:lvl w:ilvl="1">
      <w:start w:val="1"/>
      <w:numFmt w:val="decimal"/>
      <w:isLgl w:val="false"/>
      <w:suff w:val="tab"/>
      <w:lvlText w:val="（%2）"/>
      <w:lvlJc w:val="left"/>
      <w:pPr>
        <w:pStyle w:val="729"/>
        <w:ind w:left="1140" w:hanging="720"/>
        <w:tabs>
          <w:tab w:val="num" w:pos="1140" w:leader="none"/>
        </w:tabs>
      </w:pPr>
    </w:lvl>
    <w:lvl w:ilvl="2">
      <w:start w:val="1"/>
      <w:numFmt w:val="lowerRoman"/>
      <w:isLgl w:val="false"/>
      <w:suff w:val="tab"/>
      <w:lvlText w:val="%3."/>
      <w:lvlJc w:val="right"/>
      <w:pPr>
        <w:pStyle w:val="729"/>
        <w:ind w:left="1260" w:hanging="420"/>
        <w:tabs>
          <w:tab w:val="num" w:pos="1260" w:leader="none"/>
        </w:tabs>
      </w:pPr>
    </w:lvl>
    <w:lvl w:ilvl="3">
      <w:start w:val="1"/>
      <w:numFmt w:val="decimal"/>
      <w:isLgl w:val="false"/>
      <w:suff w:val="tab"/>
      <w:lvlText w:val="%4."/>
      <w:lvlJc w:val="left"/>
      <w:pPr>
        <w:pStyle w:val="729"/>
        <w:ind w:left="1680" w:hanging="420"/>
        <w:tabs>
          <w:tab w:val="num" w:pos="1680" w:leader="none"/>
        </w:tabs>
      </w:pPr>
    </w:lvl>
    <w:lvl w:ilvl="4">
      <w:start w:val="1"/>
      <w:numFmt w:val="lowerLetter"/>
      <w:isLgl w:val="false"/>
      <w:suff w:val="tab"/>
      <w:lvlText w:val="%5)"/>
      <w:lvlJc w:val="left"/>
      <w:pPr>
        <w:pStyle w:val="729"/>
        <w:ind w:left="2100" w:hanging="420"/>
        <w:tabs>
          <w:tab w:val="num" w:pos="2100" w:leader="none"/>
        </w:tabs>
      </w:pPr>
    </w:lvl>
    <w:lvl w:ilvl="5">
      <w:start w:val="1"/>
      <w:numFmt w:val="lowerRoman"/>
      <w:isLgl w:val="false"/>
      <w:suff w:val="tab"/>
      <w:lvlText w:val="%6."/>
      <w:lvlJc w:val="right"/>
      <w:pPr>
        <w:pStyle w:val="729"/>
        <w:ind w:left="2520" w:hanging="420"/>
        <w:tabs>
          <w:tab w:val="num" w:pos="2520" w:leader="none"/>
        </w:tabs>
      </w:pPr>
    </w:lvl>
    <w:lvl w:ilvl="6">
      <w:start w:val="1"/>
      <w:numFmt w:val="decimal"/>
      <w:isLgl w:val="false"/>
      <w:suff w:val="tab"/>
      <w:lvlText w:val="%7."/>
      <w:lvlJc w:val="left"/>
      <w:pPr>
        <w:pStyle w:val="729"/>
        <w:ind w:left="2940" w:hanging="420"/>
        <w:tabs>
          <w:tab w:val="num" w:pos="2940" w:leader="none"/>
        </w:tabs>
      </w:pPr>
    </w:lvl>
    <w:lvl w:ilvl="7">
      <w:start w:val="1"/>
      <w:numFmt w:val="lowerLetter"/>
      <w:isLgl w:val="false"/>
      <w:suff w:val="tab"/>
      <w:lvlText w:val="%8)"/>
      <w:lvlJc w:val="left"/>
      <w:pPr>
        <w:pStyle w:val="729"/>
        <w:ind w:left="3360" w:hanging="420"/>
        <w:tabs>
          <w:tab w:val="num" w:pos="3360" w:leader="none"/>
        </w:tabs>
      </w:pPr>
    </w:lvl>
    <w:lvl w:ilvl="8">
      <w:start w:val="1"/>
      <w:numFmt w:val="lowerRoman"/>
      <w:isLgl w:val="false"/>
      <w:suff w:val="tab"/>
      <w:lvlText w:val="%9."/>
      <w:lvlJc w:val="right"/>
      <w:pPr>
        <w:pStyle w:val="729"/>
        <w:ind w:left="3780" w:hanging="420"/>
        <w:tabs>
          <w:tab w:val="num" w:pos="3780" w:leader="none"/>
        </w:tabs>
      </w:pPr>
    </w:lvl>
  </w:abstractNum>
  <w:abstractNum w:abstractNumId="11">
    <w:multiLevelType w:val="hybridMultilevel"/>
    <w:lvl w:ilvl="0">
      <w:start w:val="1"/>
      <w:numFmt w:val="decimal"/>
      <w:pStyle w:val="883"/>
      <w:isLgl w:val="false"/>
      <w:suff w:val="tab"/>
      <w:lvlText w:val="%1."/>
      <w:lvlJc w:val="left"/>
      <w:pPr>
        <w:pStyle w:val="72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32"/>
      <w:isLgl w:val="false"/>
      <w:suff w:val="nothing"/>
      <w:lvlText w:val="%1　"/>
      <w:lvlJc w:val="left"/>
      <w:pPr>
        <w:pStyle w:val="72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9"/>
        <w:ind w:left="-25" w:firstLine="0"/>
      </w:pPr>
      <w:rPr>
        <w:rFonts w:ascii="Times New Roman" w:hAnsi="Times New Roman" w:eastAsia="黑体"/>
        <w:b/>
        <w:i w:val="0"/>
        <w:sz w:val="28"/>
      </w:rPr>
    </w:lvl>
    <w:lvl w:ilvl="3">
      <w:start w:val="1"/>
      <w:numFmt w:val="decimal"/>
      <w:pStyle w:val="868"/>
      <w:isLgl w:val="false"/>
      <w:suff w:val="nothing"/>
      <w:lvlText w:val="%1.%2.%3.%4　"/>
      <w:lvlJc w:val="left"/>
      <w:pPr>
        <w:pStyle w:val="72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9"/>
        <w:ind w:left="-25" w:firstLine="0"/>
      </w:pPr>
      <w:rPr>
        <w:rFonts w:ascii="Times New Roman" w:hAnsi="Times New Roman" w:eastAsia="宋体"/>
        <w:b/>
        <w:i w:val="0"/>
        <w:sz w:val="28"/>
      </w:rPr>
    </w:lvl>
    <w:lvl w:ilvl="6">
      <w:start w:val="1"/>
      <w:numFmt w:val="lowerLetter"/>
      <w:pStyle w:val="889"/>
      <w:isLgl w:val="false"/>
      <w:suff w:val="tab"/>
      <w:lvlText w:val="%7) "/>
      <w:lvlJc w:val="left"/>
      <w:pPr>
        <w:pStyle w:val="729"/>
        <w:ind w:left="-125" w:firstLine="400"/>
        <w:tabs>
          <w:tab w:val="num" w:pos="635" w:leader="none"/>
        </w:tabs>
      </w:pPr>
      <w:rPr>
        <w:rFonts w:ascii="Times New Roman" w:hAnsi="Times New Roman" w:eastAsia="宋体"/>
        <w:b/>
        <w:i w:val="0"/>
        <w:color w:val="000000"/>
        <w:sz w:val="28"/>
        <w:u w:val="none"/>
      </w:rPr>
    </w:lvl>
    <w:lvl w:ilvl="7">
      <w:start w:val="1"/>
      <w:numFmt w:val="decimal"/>
      <w:pStyle w:val="852"/>
      <w:isLgl w:val="false"/>
      <w:suff w:val="tab"/>
      <w:lvlText w:val="%8) "/>
      <w:lvlJc w:val="left"/>
      <w:pPr>
        <w:pStyle w:val="72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9"/>
        <w:ind w:left="500" w:firstLine="0"/>
        <w:tabs>
          <w:tab w:val="num" w:pos="860" w:leader="none"/>
        </w:tabs>
      </w:pPr>
      <w:rPr>
        <w:rFonts w:hint="eastAsia" w:ascii="宋体" w:eastAsia="宋体"/>
        <w:b w:val="0"/>
        <w:i w:val="0"/>
        <w:color w:val="000000"/>
        <w:sz w:val="28"/>
        <w:u w:val="none"/>
      </w:rPr>
    </w:lvl>
  </w:abstractNum>
  <w:abstractNum w:abstractNumId="13">
    <w:multiLevelType w:val="hybridMultilevel"/>
    <w:lvl w:ilvl="0">
      <w:start w:val="1"/>
      <w:numFmt w:val="decimal"/>
      <w:isLgl w:val="false"/>
      <w:suff w:val="tab"/>
      <w:lvlText w:val="%1．"/>
      <w:lvlJc w:val="left"/>
      <w:pPr>
        <w:pStyle w:val="729"/>
        <w:ind w:left="768" w:hanging="360"/>
        <w:tabs>
          <w:tab w:val="num" w:pos="768" w:leader="none"/>
        </w:tabs>
      </w:pPr>
      <w:rPr>
        <w:rFonts w:hint="eastAsia"/>
      </w:rPr>
    </w:lvl>
    <w:lvl w:ilvl="1">
      <w:start w:val="1"/>
      <w:numFmt w:val="decimal"/>
      <w:pStyle w:val="870"/>
      <w:isLgl w:val="false"/>
      <w:suff w:val="tab"/>
      <w:lvlText w:val="%2、"/>
      <w:lvlJc w:val="left"/>
      <w:pPr>
        <w:pStyle w:val="729"/>
        <w:ind w:left="1188" w:hanging="360"/>
        <w:tabs>
          <w:tab w:val="num" w:pos="1188" w:leader="none"/>
        </w:tabs>
      </w:pPr>
      <w:rPr>
        <w:rFonts w:hint="eastAsia"/>
      </w:rPr>
    </w:lvl>
    <w:lvl w:ilvl="2">
      <w:start w:val="1"/>
      <w:numFmt w:val="decimal"/>
      <w:isLgl w:val="false"/>
      <w:suff w:val="tab"/>
      <w:lvlText w:val="（%3）"/>
      <w:lvlJc w:val="left"/>
      <w:pPr>
        <w:pStyle w:val="729"/>
        <w:ind w:left="1968" w:hanging="720"/>
        <w:tabs>
          <w:tab w:val="num" w:pos="1968" w:leader="none"/>
        </w:tabs>
      </w:pPr>
      <w:rPr>
        <w:rFonts w:hint="eastAsia"/>
        <w:u w:val="none"/>
      </w:rPr>
    </w:lvl>
    <w:lvl w:ilvl="3">
      <w:start w:val="1"/>
      <w:numFmt w:val="decimal"/>
      <w:isLgl w:val="false"/>
      <w:suff w:val="tab"/>
      <w:lvlText w:val="%4."/>
      <w:lvlJc w:val="left"/>
      <w:pPr>
        <w:pStyle w:val="729"/>
        <w:ind w:left="2088" w:hanging="420"/>
        <w:tabs>
          <w:tab w:val="num" w:pos="2088" w:leader="none"/>
        </w:tabs>
      </w:pPr>
    </w:lvl>
    <w:lvl w:ilvl="4">
      <w:start w:val="1"/>
      <w:numFmt w:val="lowerLetter"/>
      <w:isLgl w:val="false"/>
      <w:suff w:val="tab"/>
      <w:lvlText w:val="%5)"/>
      <w:lvlJc w:val="left"/>
      <w:pPr>
        <w:pStyle w:val="729"/>
        <w:ind w:left="2508" w:hanging="420"/>
        <w:tabs>
          <w:tab w:val="num" w:pos="2508" w:leader="none"/>
        </w:tabs>
      </w:pPr>
    </w:lvl>
    <w:lvl w:ilvl="5">
      <w:start w:val="1"/>
      <w:numFmt w:val="lowerRoman"/>
      <w:isLgl w:val="false"/>
      <w:suff w:val="tab"/>
      <w:lvlText w:val="%6."/>
      <w:lvlJc w:val="right"/>
      <w:pPr>
        <w:pStyle w:val="729"/>
        <w:ind w:left="2928" w:hanging="420"/>
        <w:tabs>
          <w:tab w:val="num" w:pos="2928" w:leader="none"/>
        </w:tabs>
      </w:pPr>
    </w:lvl>
    <w:lvl w:ilvl="6">
      <w:start w:val="1"/>
      <w:numFmt w:val="decimal"/>
      <w:isLgl w:val="false"/>
      <w:suff w:val="tab"/>
      <w:lvlText w:val="%7."/>
      <w:lvlJc w:val="left"/>
      <w:pPr>
        <w:pStyle w:val="729"/>
        <w:ind w:left="3348" w:hanging="420"/>
        <w:tabs>
          <w:tab w:val="num" w:pos="3348" w:leader="none"/>
        </w:tabs>
      </w:pPr>
    </w:lvl>
    <w:lvl w:ilvl="7">
      <w:start w:val="1"/>
      <w:numFmt w:val="lowerLetter"/>
      <w:isLgl w:val="false"/>
      <w:suff w:val="tab"/>
      <w:lvlText w:val="%8)"/>
      <w:lvlJc w:val="left"/>
      <w:pPr>
        <w:pStyle w:val="729"/>
        <w:ind w:left="3768" w:hanging="420"/>
        <w:tabs>
          <w:tab w:val="num" w:pos="3768" w:leader="none"/>
        </w:tabs>
      </w:pPr>
    </w:lvl>
    <w:lvl w:ilvl="8">
      <w:start w:val="1"/>
      <w:numFmt w:val="lowerRoman"/>
      <w:isLgl w:val="false"/>
      <w:suff w:val="tab"/>
      <w:lvlText w:val="%9."/>
      <w:lvlJc w:val="right"/>
      <w:pPr>
        <w:pStyle w:val="729"/>
        <w:ind w:left="4188" w:hanging="420"/>
        <w:tabs>
          <w:tab w:val="num" w:pos="4188" w:leader="none"/>
        </w:tabs>
      </w:pPr>
    </w:lvl>
  </w:abstractNum>
  <w:abstractNum w:abstractNumId="14">
    <w:multiLevelType w:val="hybridMultilevel"/>
    <w:lvl w:ilvl="0">
      <w:start w:val="1"/>
      <w:numFmt w:val="decimal"/>
      <w:pStyle w:val="837"/>
      <w:isLgl w:val="false"/>
      <w:suff w:val="tab"/>
      <w:lvlText w:val="%1)"/>
      <w:lvlJc w:val="left"/>
      <w:pPr>
        <w:pStyle w:val="729"/>
        <w:ind w:left="420" w:hanging="420"/>
      </w:pPr>
    </w:lvl>
    <w:lvl w:ilvl="1">
      <w:start w:val="1"/>
      <w:numFmt w:val="lowerLetter"/>
      <w:isLgl w:val="false"/>
      <w:suff w:val="tab"/>
      <w:lvlText w:val="%2)"/>
      <w:lvlJc w:val="left"/>
      <w:pPr>
        <w:pStyle w:val="729"/>
        <w:ind w:left="840" w:hanging="420"/>
      </w:pPr>
    </w:lvl>
    <w:lvl w:ilvl="2">
      <w:start w:val="1"/>
      <w:numFmt w:val="lowerRoman"/>
      <w:isLgl w:val="false"/>
      <w:suff w:val="tab"/>
      <w:lvlText w:val="%3."/>
      <w:lvlJc w:val="right"/>
      <w:pPr>
        <w:pStyle w:val="729"/>
        <w:ind w:left="1260" w:hanging="420"/>
      </w:pPr>
    </w:lvl>
    <w:lvl w:ilvl="3">
      <w:start w:val="1"/>
      <w:numFmt w:val="decimal"/>
      <w:isLgl w:val="false"/>
      <w:suff w:val="tab"/>
      <w:lvlText w:val="%4."/>
      <w:lvlJc w:val="left"/>
      <w:pPr>
        <w:pStyle w:val="729"/>
        <w:ind w:left="1680" w:hanging="420"/>
      </w:pPr>
    </w:lvl>
    <w:lvl w:ilvl="4">
      <w:start w:val="1"/>
      <w:numFmt w:val="lowerLetter"/>
      <w:isLgl w:val="false"/>
      <w:suff w:val="tab"/>
      <w:lvlText w:val="%5)"/>
      <w:lvlJc w:val="left"/>
      <w:pPr>
        <w:pStyle w:val="729"/>
        <w:ind w:left="2100" w:hanging="420"/>
      </w:pPr>
    </w:lvl>
    <w:lvl w:ilvl="5">
      <w:start w:val="1"/>
      <w:numFmt w:val="lowerRoman"/>
      <w:isLgl w:val="false"/>
      <w:suff w:val="tab"/>
      <w:lvlText w:val="%6."/>
      <w:lvlJc w:val="right"/>
      <w:pPr>
        <w:pStyle w:val="729"/>
        <w:ind w:left="2520" w:hanging="420"/>
      </w:pPr>
    </w:lvl>
    <w:lvl w:ilvl="6">
      <w:start w:val="1"/>
      <w:numFmt w:val="decimal"/>
      <w:isLgl w:val="false"/>
      <w:suff w:val="tab"/>
      <w:lvlText w:val="%7."/>
      <w:lvlJc w:val="left"/>
      <w:pPr>
        <w:pStyle w:val="729"/>
        <w:ind w:left="2940" w:hanging="420"/>
      </w:pPr>
    </w:lvl>
    <w:lvl w:ilvl="7">
      <w:start w:val="1"/>
      <w:numFmt w:val="lowerLetter"/>
      <w:isLgl w:val="false"/>
      <w:suff w:val="tab"/>
      <w:lvlText w:val="%8)"/>
      <w:lvlJc w:val="left"/>
      <w:pPr>
        <w:pStyle w:val="729"/>
        <w:ind w:left="3360" w:hanging="420"/>
      </w:pPr>
    </w:lvl>
    <w:lvl w:ilvl="8">
      <w:start w:val="1"/>
      <w:numFmt w:val="lowerRoman"/>
      <w:isLgl w:val="false"/>
      <w:suff w:val="tab"/>
      <w:lvlText w:val="%9."/>
      <w:lvlJc w:val="right"/>
      <w:pPr>
        <w:pStyle w:val="729"/>
        <w:ind w:left="3780" w:hanging="420"/>
      </w:pPr>
    </w:lvl>
  </w:abstractNum>
  <w:abstractNum w:abstractNumId="15">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37"/>
      <w:isLgl w:val="false"/>
      <w:suff w:val="tab"/>
      <w:lvlText w:val="%1"/>
      <w:lvlJc w:val="left"/>
      <w:pPr>
        <w:pStyle w:val="729"/>
        <w:ind w:left="680" w:hanging="680"/>
      </w:pPr>
      <w:rPr>
        <w:rFonts w:hint="eastAsia" w:ascii="宋体" w:hAnsi="宋体" w:eastAsia="宋体"/>
      </w:rPr>
    </w:lvl>
    <w:lvl w:ilvl="1">
      <w:start w:val="1"/>
      <w:numFmt w:val="decimal"/>
      <w:pStyle w:val="938"/>
      <w:isLgl w:val="false"/>
      <w:suff w:val="tab"/>
      <w:lvlText w:val="%1.%2"/>
      <w:lvlJc w:val="left"/>
      <w:pPr>
        <w:pStyle w:val="729"/>
        <w:ind w:left="851" w:hanging="851"/>
      </w:pPr>
      <w:rPr>
        <w:rFonts w:hint="eastAsia" w:ascii="宋体" w:hAnsi="宋体" w:eastAsia="宋体"/>
        <w:color w:val="000000"/>
      </w:rPr>
    </w:lvl>
    <w:lvl w:ilvl="2">
      <w:start w:val="1"/>
      <w:numFmt w:val="decimal"/>
      <w:pStyle w:val="939"/>
      <w:isLgl w:val="false"/>
      <w:suff w:val="tab"/>
      <w:lvlText w:val="%1.%2.%3"/>
      <w:lvlJc w:val="left"/>
      <w:pPr>
        <w:pStyle w:val="729"/>
        <w:ind w:left="851" w:hanging="851"/>
      </w:pPr>
      <w:rPr>
        <w:rFonts w:hint="eastAsia"/>
      </w:rPr>
    </w:lvl>
    <w:lvl w:ilvl="3">
      <w:start w:val="1"/>
      <w:numFmt w:val="decimal"/>
      <w:isLgl w:val="false"/>
      <w:suff w:val="tab"/>
      <w:lvlText w:val="%1.%2.%3.%4"/>
      <w:lvlJc w:val="left"/>
      <w:pPr>
        <w:pStyle w:val="729"/>
        <w:ind w:left="680" w:hanging="680"/>
      </w:pPr>
      <w:rPr>
        <w:rFonts w:hint="eastAsia"/>
      </w:rPr>
    </w:lvl>
    <w:lvl w:ilvl="4">
      <w:start w:val="1"/>
      <w:numFmt w:val="decimal"/>
      <w:isLgl w:val="false"/>
      <w:suff w:val="tab"/>
      <w:lvlText w:val="%1.%2.%3.%4.%5"/>
      <w:lvlJc w:val="left"/>
      <w:pPr>
        <w:pStyle w:val="729"/>
        <w:ind w:left="680" w:hanging="680"/>
      </w:pPr>
      <w:rPr>
        <w:rFonts w:hint="eastAsia"/>
      </w:rPr>
    </w:lvl>
    <w:lvl w:ilvl="5">
      <w:start w:val="1"/>
      <w:numFmt w:val="decimal"/>
      <w:isLgl w:val="false"/>
      <w:suff w:val="tab"/>
      <w:lvlText w:val="%1.%2.%3.%4.%5.%6"/>
      <w:lvlJc w:val="left"/>
      <w:pPr>
        <w:pStyle w:val="729"/>
        <w:ind w:left="680" w:hanging="680"/>
      </w:pPr>
      <w:rPr>
        <w:rFonts w:hint="eastAsia"/>
      </w:rPr>
    </w:lvl>
    <w:lvl w:ilvl="6">
      <w:start w:val="1"/>
      <w:numFmt w:val="decimal"/>
      <w:isLgl w:val="false"/>
      <w:suff w:val="tab"/>
      <w:lvlText w:val="%1.%2.%3.%4.%5.%6.%7"/>
      <w:lvlJc w:val="left"/>
      <w:pPr>
        <w:pStyle w:val="729"/>
        <w:ind w:left="680" w:hanging="680"/>
      </w:pPr>
      <w:rPr>
        <w:rFonts w:hint="eastAsia"/>
      </w:rPr>
    </w:lvl>
    <w:lvl w:ilvl="7">
      <w:start w:val="1"/>
      <w:numFmt w:val="decimal"/>
      <w:isLgl w:val="false"/>
      <w:suff w:val="tab"/>
      <w:lvlText w:val="%1.%2.%3.%4.%5.%6.%7.%8"/>
      <w:lvlJc w:val="left"/>
      <w:pPr>
        <w:pStyle w:val="729"/>
        <w:ind w:left="680" w:hanging="680"/>
      </w:pPr>
      <w:rPr>
        <w:rFonts w:hint="eastAsia"/>
      </w:rPr>
    </w:lvl>
    <w:lvl w:ilvl="8">
      <w:start w:val="1"/>
      <w:numFmt w:val="decimal"/>
      <w:isLgl w:val="false"/>
      <w:suff w:val="tab"/>
      <w:lvlText w:val="%1.%2.%3.%4.%5.%6.%7.%8.%9"/>
      <w:lvlJc w:val="left"/>
      <w:pPr>
        <w:pStyle w:val="729"/>
        <w:ind w:left="680" w:hanging="680"/>
      </w:pPr>
      <w:rPr>
        <w:rFonts w:hint="eastAsia"/>
      </w:rPr>
    </w:lvl>
  </w:abstractNum>
  <w:abstractNum w:abstractNumId="17">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729"/>
        <w:ind w:left="360" w:hanging="360"/>
      </w:pPr>
    </w:lvl>
    <w:lvl w:ilvl="1">
      <w:start w:val="1"/>
      <w:numFmt w:val="lowerLetter"/>
      <w:isLgl w:val="false"/>
      <w:suff w:val="tab"/>
      <w:lvlText w:val="%2)"/>
      <w:lvlJc w:val="left"/>
      <w:pPr>
        <w:pStyle w:val="729"/>
        <w:ind w:left="880" w:hanging="440"/>
      </w:pPr>
    </w:lvl>
    <w:lvl w:ilvl="2">
      <w:start w:val="1"/>
      <w:numFmt w:val="lowerRoman"/>
      <w:isLgl w:val="false"/>
      <w:suff w:val="tab"/>
      <w:lvlText w:val="%3."/>
      <w:lvlJc w:val="right"/>
      <w:pPr>
        <w:pStyle w:val="729"/>
        <w:ind w:left="1320" w:hanging="440"/>
      </w:pPr>
    </w:lvl>
    <w:lvl w:ilvl="3">
      <w:start w:val="1"/>
      <w:numFmt w:val="decimal"/>
      <w:isLgl w:val="false"/>
      <w:suff w:val="tab"/>
      <w:lvlText w:val="%4."/>
      <w:lvlJc w:val="left"/>
      <w:pPr>
        <w:pStyle w:val="729"/>
        <w:ind w:left="1760" w:hanging="440"/>
      </w:pPr>
    </w:lvl>
    <w:lvl w:ilvl="4">
      <w:start w:val="1"/>
      <w:numFmt w:val="lowerLetter"/>
      <w:isLgl w:val="false"/>
      <w:suff w:val="tab"/>
      <w:lvlText w:val="%5)"/>
      <w:lvlJc w:val="left"/>
      <w:pPr>
        <w:pStyle w:val="729"/>
        <w:ind w:left="2200" w:hanging="440"/>
      </w:pPr>
    </w:lvl>
    <w:lvl w:ilvl="5">
      <w:start w:val="1"/>
      <w:numFmt w:val="lowerRoman"/>
      <w:isLgl w:val="false"/>
      <w:suff w:val="tab"/>
      <w:lvlText w:val="%6."/>
      <w:lvlJc w:val="right"/>
      <w:pPr>
        <w:pStyle w:val="729"/>
        <w:ind w:left="2640" w:hanging="440"/>
      </w:pPr>
    </w:lvl>
    <w:lvl w:ilvl="6">
      <w:start w:val="1"/>
      <w:numFmt w:val="decimal"/>
      <w:isLgl w:val="false"/>
      <w:suff w:val="tab"/>
      <w:lvlText w:val="%7."/>
      <w:lvlJc w:val="left"/>
      <w:pPr>
        <w:pStyle w:val="729"/>
        <w:ind w:left="3080" w:hanging="440"/>
      </w:pPr>
    </w:lvl>
    <w:lvl w:ilvl="7">
      <w:start w:val="1"/>
      <w:numFmt w:val="lowerLetter"/>
      <w:isLgl w:val="false"/>
      <w:suff w:val="tab"/>
      <w:lvlText w:val="%8)"/>
      <w:lvlJc w:val="left"/>
      <w:pPr>
        <w:pStyle w:val="729"/>
        <w:ind w:left="3520" w:hanging="440"/>
      </w:pPr>
    </w:lvl>
    <w:lvl w:ilvl="8">
      <w:start w:val="1"/>
      <w:numFmt w:val="lowerRoman"/>
      <w:isLgl w:val="false"/>
      <w:suff w:val="tab"/>
      <w:lvlText w:val="%9."/>
      <w:lvlJc w:val="right"/>
      <w:pPr>
        <w:pStyle w:val="729"/>
        <w:ind w:left="3960" w:hanging="440"/>
      </w:pPr>
    </w:lvl>
  </w:abstractNum>
  <w:abstractNum w:abstractNumId="19">
    <w:multiLevelType w:val="hybridMultilevel"/>
    <w:lvl w:ilvl="0">
      <w:start w:val="4"/>
      <w:numFmt w:val="decimal"/>
      <w:isLgl w:val="false"/>
      <w:suff w:val="tab"/>
      <w:lvlText w:val="%1、"/>
      <w:lvlJc w:val="left"/>
      <w:pPr>
        <w:pStyle w:val="729"/>
        <w:ind w:left="360" w:hanging="360"/>
      </w:pPr>
    </w:lvl>
    <w:lvl w:ilvl="1">
      <w:start w:val="1"/>
      <w:numFmt w:val="lowerLetter"/>
      <w:isLgl w:val="false"/>
      <w:suff w:val="tab"/>
      <w:lvlText w:val="%2)"/>
      <w:lvlJc w:val="left"/>
      <w:pPr>
        <w:pStyle w:val="729"/>
        <w:ind w:left="880" w:hanging="440"/>
      </w:pPr>
    </w:lvl>
    <w:lvl w:ilvl="2">
      <w:start w:val="1"/>
      <w:numFmt w:val="lowerRoman"/>
      <w:isLgl w:val="false"/>
      <w:suff w:val="tab"/>
      <w:lvlText w:val="%3."/>
      <w:lvlJc w:val="right"/>
      <w:pPr>
        <w:pStyle w:val="729"/>
        <w:ind w:left="1320" w:hanging="440"/>
      </w:pPr>
    </w:lvl>
    <w:lvl w:ilvl="3">
      <w:start w:val="1"/>
      <w:numFmt w:val="decimal"/>
      <w:isLgl w:val="false"/>
      <w:suff w:val="tab"/>
      <w:lvlText w:val="%4."/>
      <w:lvlJc w:val="left"/>
      <w:pPr>
        <w:pStyle w:val="729"/>
        <w:ind w:left="1760" w:hanging="440"/>
      </w:pPr>
    </w:lvl>
    <w:lvl w:ilvl="4">
      <w:start w:val="1"/>
      <w:numFmt w:val="lowerLetter"/>
      <w:isLgl w:val="false"/>
      <w:suff w:val="tab"/>
      <w:lvlText w:val="%5)"/>
      <w:lvlJc w:val="left"/>
      <w:pPr>
        <w:pStyle w:val="729"/>
        <w:ind w:left="2200" w:hanging="440"/>
      </w:pPr>
    </w:lvl>
    <w:lvl w:ilvl="5">
      <w:start w:val="1"/>
      <w:numFmt w:val="lowerRoman"/>
      <w:isLgl w:val="false"/>
      <w:suff w:val="tab"/>
      <w:lvlText w:val="%6."/>
      <w:lvlJc w:val="right"/>
      <w:pPr>
        <w:pStyle w:val="729"/>
        <w:ind w:left="2640" w:hanging="440"/>
      </w:pPr>
    </w:lvl>
    <w:lvl w:ilvl="6">
      <w:start w:val="1"/>
      <w:numFmt w:val="decimal"/>
      <w:isLgl w:val="false"/>
      <w:suff w:val="tab"/>
      <w:lvlText w:val="%7."/>
      <w:lvlJc w:val="left"/>
      <w:pPr>
        <w:pStyle w:val="729"/>
        <w:ind w:left="3080" w:hanging="440"/>
      </w:pPr>
    </w:lvl>
    <w:lvl w:ilvl="7">
      <w:start w:val="1"/>
      <w:numFmt w:val="lowerLetter"/>
      <w:isLgl w:val="false"/>
      <w:suff w:val="tab"/>
      <w:lvlText w:val="%8)"/>
      <w:lvlJc w:val="left"/>
      <w:pPr>
        <w:pStyle w:val="729"/>
        <w:ind w:left="3520" w:hanging="440"/>
      </w:pPr>
    </w:lvl>
    <w:lvl w:ilvl="8">
      <w:start w:val="1"/>
      <w:numFmt w:val="lowerRoman"/>
      <w:isLgl w:val="false"/>
      <w:suff w:val="tab"/>
      <w:lvlText w:val="%9."/>
      <w:lvlJc w:val="right"/>
      <w:pPr>
        <w:pStyle w:val="729"/>
        <w:ind w:left="3960" w:hanging="440"/>
      </w:pPr>
    </w:lvl>
  </w:abstractNum>
  <w:abstractNum w:abstractNumId="20">
    <w:multiLevelType w:val="hybridMultilevel"/>
    <w:lvl w:ilvl="0">
      <w:start w:val="1"/>
      <w:numFmt w:val="decimal"/>
      <w:isLgl w:val="false"/>
      <w:suff w:val="nothing"/>
      <w:lvlText w:val="%1、"/>
      <w:lvlJc w:val="left"/>
      <w:pPr>
        <w:pStyle w:val="729"/>
        <w:ind w:left="25"/>
      </w:pPr>
    </w:lvl>
    <w:lvl w:ilvl="1">
      <w:start w:val="1"/>
      <w:numFmt w:val="lowerLetter"/>
      <w:isLgl w:val="false"/>
      <w:suff w:val="tab"/>
      <w:lvlText w:val="%2)"/>
      <w:lvlJc w:val="left"/>
      <w:pPr>
        <w:pStyle w:val="729"/>
        <w:ind w:left="905" w:hanging="440"/>
      </w:pPr>
    </w:lvl>
    <w:lvl w:ilvl="2">
      <w:start w:val="1"/>
      <w:numFmt w:val="lowerRoman"/>
      <w:isLgl w:val="false"/>
      <w:suff w:val="tab"/>
      <w:lvlText w:val="%3."/>
      <w:lvlJc w:val="right"/>
      <w:pPr>
        <w:pStyle w:val="729"/>
        <w:ind w:left="1345" w:hanging="440"/>
      </w:pPr>
    </w:lvl>
    <w:lvl w:ilvl="3">
      <w:start w:val="1"/>
      <w:numFmt w:val="decimal"/>
      <w:isLgl w:val="false"/>
      <w:suff w:val="tab"/>
      <w:lvlText w:val="%4."/>
      <w:lvlJc w:val="left"/>
      <w:pPr>
        <w:pStyle w:val="729"/>
        <w:ind w:left="1785" w:hanging="440"/>
      </w:pPr>
    </w:lvl>
    <w:lvl w:ilvl="4">
      <w:start w:val="1"/>
      <w:numFmt w:val="lowerLetter"/>
      <w:isLgl w:val="false"/>
      <w:suff w:val="tab"/>
      <w:lvlText w:val="%5)"/>
      <w:lvlJc w:val="left"/>
      <w:pPr>
        <w:pStyle w:val="729"/>
        <w:ind w:left="2225" w:hanging="440"/>
      </w:pPr>
    </w:lvl>
    <w:lvl w:ilvl="5">
      <w:start w:val="1"/>
      <w:numFmt w:val="lowerRoman"/>
      <w:isLgl w:val="false"/>
      <w:suff w:val="tab"/>
      <w:lvlText w:val="%6."/>
      <w:lvlJc w:val="right"/>
      <w:pPr>
        <w:pStyle w:val="729"/>
        <w:ind w:left="2665" w:hanging="440"/>
      </w:pPr>
    </w:lvl>
    <w:lvl w:ilvl="6">
      <w:start w:val="1"/>
      <w:numFmt w:val="decimal"/>
      <w:isLgl w:val="false"/>
      <w:suff w:val="tab"/>
      <w:lvlText w:val="%7."/>
      <w:lvlJc w:val="left"/>
      <w:pPr>
        <w:pStyle w:val="729"/>
        <w:ind w:left="3105" w:hanging="440"/>
      </w:pPr>
    </w:lvl>
    <w:lvl w:ilvl="7">
      <w:start w:val="1"/>
      <w:numFmt w:val="lowerLetter"/>
      <w:isLgl w:val="false"/>
      <w:suff w:val="tab"/>
      <w:lvlText w:val="%8)"/>
      <w:lvlJc w:val="left"/>
      <w:pPr>
        <w:pStyle w:val="729"/>
        <w:ind w:left="3545" w:hanging="440"/>
      </w:pPr>
    </w:lvl>
    <w:lvl w:ilvl="8">
      <w:start w:val="1"/>
      <w:numFmt w:val="lowerRoman"/>
      <w:isLgl w:val="false"/>
      <w:suff w:val="tab"/>
      <w:lvlText w:val="%9."/>
      <w:lvlJc w:val="right"/>
      <w:pPr>
        <w:pStyle w:val="729"/>
        <w:ind w:left="3985" w:hanging="440"/>
      </w:pPr>
    </w:lvl>
  </w:abstractNum>
  <w:abstractNum w:abstractNumId="21">
    <w:multiLevelType w:val="hybridMultilevel"/>
    <w:lvl w:ilvl="0">
      <w:start w:val="1"/>
      <w:numFmt w:val="decimal"/>
      <w:isLgl w:val="false"/>
      <w:suff w:val="tab"/>
      <w:lvlText w:val="%1、"/>
      <w:lvlJc w:val="left"/>
      <w:pPr>
        <w:pStyle w:val="729"/>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29"/>
        <w:ind w:left="0" w:firstLine="0"/>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num w:numId="1">
    <w:abstractNumId w:val="12"/>
  </w:num>
  <w:num w:numId="2">
    <w:abstractNumId w:val="8"/>
  </w:num>
  <w:num w:numId="3">
    <w:abstractNumId w:val="14"/>
  </w:num>
  <w:num w:numId="4">
    <w:abstractNumId w:val="13"/>
  </w:num>
  <w:num w:numId="5">
    <w:abstractNumId w:val="11"/>
  </w:num>
  <w:num w:numId="6">
    <w:abstractNumId w:val="9"/>
  </w:num>
  <w:num w:numId="7">
    <w:abstractNumId w:val="16"/>
  </w:num>
  <w:num w:numId="8">
    <w:abstractNumId w:val="4"/>
  </w:num>
  <w:num w:numId="9">
    <w:abstractNumId w:val="2"/>
  </w:num>
  <w:num w:numId="10">
    <w:abstractNumId w:val="20"/>
  </w:num>
  <w:num w:numId="11">
    <w:abstractNumId w:val="3"/>
  </w:num>
  <w:num w:numId="12">
    <w:abstractNumId w:val="19"/>
  </w:num>
  <w:num w:numId="13">
    <w:abstractNumId w:val="7"/>
  </w:num>
  <w:num w:numId="14">
    <w:abstractNumId w:val="17"/>
  </w:num>
  <w:num w:numId="15">
    <w:abstractNumId w:val="5"/>
  </w:num>
  <w:num w:numId="16">
    <w:abstractNumId w:val="6"/>
  </w:num>
  <w:num w:numId="17">
    <w:abstractNumId w:val="15"/>
  </w:num>
  <w:num w:numId="18">
    <w:abstractNumId w:val="18"/>
  </w:num>
  <w:num w:numId="19">
    <w:abstractNumId w:val="0"/>
  </w:num>
  <w:num w:numId="20">
    <w:abstractNumId w:val="21"/>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num>
  <w:num w:numId="23">
    <w:abstractNumId w:val="2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9"/>
    <w:next w:val="7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9"/>
    <w:next w:val="7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9"/>
    <w:next w:val="7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9"/>
    <w:next w:val="7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9"/>
    <w:next w:val="7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9"/>
    <w:next w:val="7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9"/>
    <w:next w:val="7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9"/>
    <w:next w:val="7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9"/>
    <w:next w:val="7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next w:val="729"/>
    <w:link w:val="729"/>
    <w:qFormat/>
    <w:pPr>
      <w:jc w:val="both"/>
      <w:widowControl w:val="off"/>
    </w:pPr>
    <w:rPr>
      <w:sz w:val="21"/>
      <w:szCs w:val="24"/>
      <w:lang w:val="en-US" w:eastAsia="zh-CN" w:bidi="ar-SA"/>
    </w:rPr>
  </w:style>
  <w:style w:type="paragraph" w:styleId="730">
    <w:name w:val="标题 1"/>
    <w:basedOn w:val="729"/>
    <w:next w:val="729"/>
    <w:link w:val="742"/>
    <w:qFormat/>
    <w:pPr>
      <w:jc w:val="center"/>
      <w:keepLines/>
      <w:keepNext/>
      <w:spacing w:before="240" w:after="120" w:line="300" w:lineRule="auto"/>
      <w:outlineLvl w:val="0"/>
    </w:pPr>
    <w:rPr>
      <w:rFonts w:ascii="宋体"/>
      <w:b/>
      <w:sz w:val="32"/>
      <w:szCs w:val="20"/>
    </w:rPr>
  </w:style>
  <w:style w:type="paragraph" w:styleId="731">
    <w:name w:val="标题 2"/>
    <w:basedOn w:val="729"/>
    <w:next w:val="744"/>
    <w:link w:val="743"/>
    <w:qFormat/>
    <w:pPr>
      <w:jc w:val="center"/>
      <w:keepLines/>
      <w:keepNext/>
      <w:spacing w:before="120" w:line="300" w:lineRule="auto"/>
      <w:outlineLvl w:val="1"/>
    </w:pPr>
    <w:rPr>
      <w:rFonts w:ascii="Arial" w:hAnsi="Arial" w:eastAsia="黑体"/>
      <w:b/>
      <w:sz w:val="30"/>
      <w:szCs w:val="20"/>
    </w:rPr>
  </w:style>
  <w:style w:type="paragraph" w:styleId="732">
    <w:name w:val="标题 3"/>
    <w:basedOn w:val="729"/>
    <w:next w:val="729"/>
    <w:link w:val="746"/>
    <w:qFormat/>
    <w:pPr>
      <w:jc w:val="left"/>
      <w:keepLines/>
      <w:keepNext/>
      <w:spacing w:before="360" w:after="120"/>
      <w:outlineLvl w:val="2"/>
    </w:pPr>
    <w:rPr>
      <w:rFonts w:ascii="宋体"/>
      <w:b/>
      <w:sz w:val="24"/>
      <w:szCs w:val="20"/>
      <w:u w:val="single"/>
    </w:rPr>
  </w:style>
  <w:style w:type="paragraph" w:styleId="733">
    <w:name w:val="标题 4"/>
    <w:basedOn w:val="729"/>
    <w:next w:val="729"/>
    <w:link w:val="747"/>
    <w:qFormat/>
    <w:pPr>
      <w:keepLines/>
      <w:keepNext/>
      <w:spacing w:before="280" w:after="290" w:line="376" w:lineRule="atLeast"/>
      <w:outlineLvl w:val="3"/>
    </w:pPr>
    <w:rPr>
      <w:rFonts w:ascii="Arial" w:hAnsi="Arial" w:eastAsia="黑体"/>
      <w:b/>
      <w:sz w:val="28"/>
      <w:szCs w:val="20"/>
    </w:rPr>
  </w:style>
  <w:style w:type="paragraph" w:styleId="734">
    <w:name w:val="标题 5"/>
    <w:basedOn w:val="729"/>
    <w:next w:val="729"/>
    <w:link w:val="748"/>
    <w:qFormat/>
    <w:pPr>
      <w:keepLines/>
      <w:keepNext/>
      <w:spacing w:before="280" w:after="290" w:line="376" w:lineRule="atLeast"/>
      <w:outlineLvl w:val="4"/>
    </w:pPr>
    <w:rPr>
      <w:b/>
      <w:sz w:val="28"/>
      <w:szCs w:val="20"/>
    </w:rPr>
  </w:style>
  <w:style w:type="paragraph" w:styleId="735">
    <w:name w:val="标题 6"/>
    <w:basedOn w:val="729"/>
    <w:next w:val="729"/>
    <w:link w:val="749"/>
    <w:qFormat/>
    <w:pPr>
      <w:keepLines/>
      <w:keepNext/>
      <w:spacing w:before="240" w:after="64" w:line="320" w:lineRule="atLeast"/>
      <w:outlineLvl w:val="5"/>
    </w:pPr>
    <w:rPr>
      <w:rFonts w:ascii="Arial" w:hAnsi="Arial" w:eastAsia="黑体"/>
      <w:b/>
      <w:sz w:val="24"/>
      <w:szCs w:val="20"/>
    </w:rPr>
  </w:style>
  <w:style w:type="paragraph" w:styleId="736">
    <w:name w:val="标题 7"/>
    <w:basedOn w:val="729"/>
    <w:next w:val="729"/>
    <w:link w:val="750"/>
    <w:qFormat/>
    <w:pPr>
      <w:keepLines/>
      <w:keepNext/>
      <w:spacing w:before="240" w:after="64" w:line="320" w:lineRule="atLeast"/>
      <w:outlineLvl w:val="6"/>
    </w:pPr>
    <w:rPr>
      <w:b/>
      <w:sz w:val="24"/>
      <w:szCs w:val="20"/>
    </w:rPr>
  </w:style>
  <w:style w:type="paragraph" w:styleId="737">
    <w:name w:val="标题 8"/>
    <w:basedOn w:val="729"/>
    <w:next w:val="729"/>
    <w:link w:val="751"/>
    <w:qFormat/>
    <w:pPr>
      <w:keepLines/>
      <w:keepNext/>
      <w:spacing w:before="240" w:after="64" w:line="320" w:lineRule="atLeast"/>
      <w:outlineLvl w:val="7"/>
    </w:pPr>
    <w:rPr>
      <w:rFonts w:ascii="Arial" w:hAnsi="Arial" w:eastAsia="黑体"/>
      <w:sz w:val="24"/>
      <w:szCs w:val="20"/>
    </w:rPr>
  </w:style>
  <w:style w:type="paragraph" w:styleId="738">
    <w:name w:val="标题 9"/>
    <w:basedOn w:val="729"/>
    <w:next w:val="729"/>
    <w:link w:val="752"/>
    <w:qFormat/>
    <w:pPr>
      <w:keepLines/>
      <w:keepNext/>
      <w:spacing w:before="240" w:after="64" w:line="320" w:lineRule="atLeast"/>
      <w:outlineLvl w:val="8"/>
    </w:pPr>
    <w:rPr>
      <w:rFonts w:ascii="Arial" w:hAnsi="Arial" w:eastAsia="黑体"/>
      <w:szCs w:val="20"/>
    </w:rPr>
  </w:style>
  <w:style w:type="character" w:styleId="739">
    <w:name w:val="默认段落字体"/>
    <w:next w:val="739"/>
    <w:link w:val="729"/>
    <w:uiPriority w:val="1"/>
    <w:unhideWhenUsed/>
    <w:qFormat/>
  </w:style>
  <w:style w:type="table" w:styleId="740">
    <w:name w:val="普通表格"/>
    <w:next w:val="740"/>
    <w:link w:val="729"/>
    <w:uiPriority w:val="99"/>
    <w:unhideWhenUsed/>
    <w:qFormat/>
    <w:tblPr/>
  </w:style>
  <w:style w:type="numbering" w:styleId="741">
    <w:name w:val="无列表"/>
    <w:next w:val="741"/>
    <w:link w:val="729"/>
    <w:uiPriority w:val="99"/>
    <w:semiHidden/>
    <w:unhideWhenUsed/>
  </w:style>
  <w:style w:type="character" w:styleId="742">
    <w:name w:val="标题 1 字符"/>
    <w:next w:val="742"/>
    <w:link w:val="730"/>
    <w:qFormat/>
    <w:rPr>
      <w:rFonts w:ascii="宋体"/>
      <w:b/>
      <w:sz w:val="32"/>
    </w:rPr>
  </w:style>
  <w:style w:type="character" w:styleId="743">
    <w:name w:val="标题 2 字符1"/>
    <w:next w:val="743"/>
    <w:link w:val="731"/>
    <w:qFormat/>
    <w:rPr>
      <w:rFonts w:ascii="Arial" w:hAnsi="Arial" w:eastAsia="黑体"/>
      <w:b/>
      <w:sz w:val="30"/>
      <w:lang w:val="en-US" w:eastAsia="zh-CN" w:bidi="ar-SA"/>
    </w:rPr>
  </w:style>
  <w:style w:type="paragraph" w:styleId="744">
    <w:name w:val="正文缩进"/>
    <w:basedOn w:val="729"/>
    <w:next w:val="744"/>
    <w:link w:val="745"/>
    <w:qFormat/>
    <w:pPr>
      <w:ind w:firstLine="420"/>
      <w:jc w:val="left"/>
    </w:pPr>
    <w:rPr>
      <w:rFonts w:ascii="宋体"/>
      <w:sz w:val="24"/>
    </w:rPr>
  </w:style>
  <w:style w:type="character" w:styleId="745">
    <w:name w:val="正文缩进 字符"/>
    <w:next w:val="745"/>
    <w:link w:val="744"/>
    <w:qFormat/>
    <w:rPr>
      <w:rFonts w:ascii="宋体" w:eastAsia="宋体"/>
      <w:sz w:val="24"/>
      <w:szCs w:val="24"/>
      <w:lang w:val="en-US" w:eastAsia="zh-CN" w:bidi="ar-SA"/>
    </w:rPr>
  </w:style>
  <w:style w:type="character" w:styleId="746">
    <w:name w:val="标题 3 字符"/>
    <w:next w:val="746"/>
    <w:link w:val="732"/>
    <w:qFormat/>
    <w:rPr>
      <w:rFonts w:ascii="宋体" w:eastAsia="宋体"/>
      <w:b/>
      <w:sz w:val="24"/>
      <w:u w:val="single"/>
      <w:lang w:val="en-US" w:eastAsia="zh-CN" w:bidi="ar-SA"/>
    </w:rPr>
  </w:style>
  <w:style w:type="character" w:styleId="747">
    <w:name w:val="标题 4 字符"/>
    <w:next w:val="747"/>
    <w:link w:val="733"/>
    <w:qFormat/>
    <w:rPr>
      <w:rFonts w:ascii="Arial" w:hAnsi="Arial" w:eastAsia="黑体"/>
      <w:b/>
      <w:sz w:val="28"/>
    </w:rPr>
  </w:style>
  <w:style w:type="character" w:styleId="748">
    <w:name w:val="标题 5 字符"/>
    <w:next w:val="748"/>
    <w:link w:val="734"/>
    <w:qFormat/>
    <w:rPr>
      <w:b/>
      <w:sz w:val="28"/>
    </w:rPr>
  </w:style>
  <w:style w:type="character" w:styleId="749">
    <w:name w:val="标题 6 字符"/>
    <w:next w:val="749"/>
    <w:link w:val="735"/>
    <w:qFormat/>
    <w:rPr>
      <w:rFonts w:ascii="Arial" w:hAnsi="Arial" w:eastAsia="黑体"/>
      <w:b/>
      <w:sz w:val="24"/>
    </w:rPr>
  </w:style>
  <w:style w:type="character" w:styleId="750">
    <w:name w:val="标题 7 字符"/>
    <w:next w:val="750"/>
    <w:link w:val="736"/>
    <w:qFormat/>
    <w:rPr>
      <w:b/>
      <w:sz w:val="24"/>
    </w:rPr>
  </w:style>
  <w:style w:type="character" w:styleId="751">
    <w:name w:val="标题 8 字符"/>
    <w:next w:val="751"/>
    <w:link w:val="737"/>
    <w:qFormat/>
    <w:rPr>
      <w:rFonts w:ascii="Arial" w:hAnsi="Arial" w:eastAsia="黑体"/>
      <w:sz w:val="24"/>
    </w:rPr>
  </w:style>
  <w:style w:type="character" w:styleId="752">
    <w:name w:val="标题 9 字符"/>
    <w:next w:val="752"/>
    <w:link w:val="738"/>
    <w:qFormat/>
    <w:rPr>
      <w:rFonts w:ascii="Arial" w:hAnsi="Arial" w:eastAsia="黑体"/>
      <w:sz w:val="21"/>
    </w:rPr>
  </w:style>
  <w:style w:type="paragraph" w:styleId="753">
    <w:name w:val="toc 7"/>
    <w:basedOn w:val="729"/>
    <w:next w:val="729"/>
    <w:link w:val="729"/>
    <w:qFormat/>
    <w:pPr>
      <w:ind w:left="2520"/>
    </w:pPr>
  </w:style>
  <w:style w:type="paragraph" w:styleId="754">
    <w:name w:val="题注"/>
    <w:basedOn w:val="729"/>
    <w:next w:val="729"/>
    <w:link w:val="729"/>
    <w:qFormat/>
    <w:pPr>
      <w:spacing w:line="480" w:lineRule="auto"/>
    </w:pPr>
    <w:rPr>
      <w:rFonts w:ascii="华文中宋" w:hAnsi="华文中宋" w:eastAsia="华文中宋"/>
      <w:sz w:val="36"/>
      <w:szCs w:val="20"/>
    </w:rPr>
  </w:style>
  <w:style w:type="paragraph" w:styleId="755">
    <w:name w:val="文档结构图"/>
    <w:basedOn w:val="729"/>
    <w:next w:val="755"/>
    <w:link w:val="756"/>
    <w:qFormat/>
    <w:pPr>
      <w:shd w:val="clear" w:color="auto" w:fill="000080"/>
    </w:pPr>
  </w:style>
  <w:style w:type="character" w:styleId="756">
    <w:name w:val="文档结构图 字符"/>
    <w:next w:val="756"/>
    <w:link w:val="755"/>
    <w:qFormat/>
    <w:rPr>
      <w:sz w:val="21"/>
      <w:szCs w:val="24"/>
      <w:shd w:val="clear" w:color="auto" w:fill="000080"/>
    </w:rPr>
  </w:style>
  <w:style w:type="paragraph" w:styleId="757">
    <w:name w:val="批注文字"/>
    <w:basedOn w:val="729"/>
    <w:next w:val="757"/>
    <w:link w:val="758"/>
    <w:qFormat/>
    <w:pPr>
      <w:jc w:val="left"/>
    </w:pPr>
  </w:style>
  <w:style w:type="character" w:styleId="758">
    <w:name w:val="批注文字 字符1"/>
    <w:next w:val="758"/>
    <w:link w:val="757"/>
    <w:uiPriority w:val="99"/>
    <w:qFormat/>
    <w:rPr>
      <w:sz w:val="21"/>
      <w:szCs w:val="24"/>
    </w:rPr>
  </w:style>
  <w:style w:type="paragraph" w:styleId="759">
    <w:name w:val="正文文本 3"/>
    <w:basedOn w:val="729"/>
    <w:next w:val="759"/>
    <w:link w:val="760"/>
    <w:qFormat/>
    <w:pPr>
      <w:spacing w:after="120"/>
    </w:pPr>
    <w:rPr>
      <w:sz w:val="16"/>
      <w:szCs w:val="16"/>
    </w:rPr>
  </w:style>
  <w:style w:type="character" w:styleId="760">
    <w:name w:val="正文文本 3 字符"/>
    <w:next w:val="760"/>
    <w:link w:val="759"/>
    <w:qFormat/>
    <w:rPr>
      <w:sz w:val="16"/>
      <w:szCs w:val="16"/>
    </w:rPr>
  </w:style>
  <w:style w:type="paragraph" w:styleId="761">
    <w:name w:val="正文文本"/>
    <w:basedOn w:val="729"/>
    <w:next w:val="761"/>
    <w:link w:val="762"/>
    <w:uiPriority w:val="99"/>
    <w:qFormat/>
    <w:pPr>
      <w:spacing w:before="120" w:line="22" w:lineRule="atLeast"/>
      <w:tabs>
        <w:tab w:val="left" w:pos="567" w:leader="none"/>
      </w:tabs>
    </w:pPr>
    <w:rPr>
      <w:rFonts w:ascii="宋体" w:hAnsi="宋体"/>
      <w:sz w:val="24"/>
    </w:rPr>
  </w:style>
  <w:style w:type="character" w:styleId="762">
    <w:name w:val="正文文本 字符1"/>
    <w:next w:val="762"/>
    <w:link w:val="761"/>
    <w:qFormat/>
    <w:rPr>
      <w:rFonts w:ascii="宋体" w:hAnsi="宋体"/>
      <w:sz w:val="24"/>
      <w:szCs w:val="24"/>
    </w:rPr>
  </w:style>
  <w:style w:type="paragraph" w:styleId="763">
    <w:name w:val="正文文本缩进"/>
    <w:basedOn w:val="729"/>
    <w:next w:val="763"/>
    <w:link w:val="764"/>
    <w:qFormat/>
    <w:pPr>
      <w:ind w:firstLine="570"/>
      <w:spacing w:line="360" w:lineRule="auto"/>
    </w:pPr>
    <w:rPr>
      <w:sz w:val="24"/>
    </w:rPr>
  </w:style>
  <w:style w:type="character" w:styleId="764">
    <w:name w:val="正文文本缩进 字符"/>
    <w:next w:val="764"/>
    <w:link w:val="763"/>
    <w:qFormat/>
    <w:rPr>
      <w:rFonts w:eastAsia="宋体"/>
      <w:sz w:val="24"/>
      <w:szCs w:val="24"/>
      <w:lang w:val="en-US" w:eastAsia="zh-CN" w:bidi="ar-SA"/>
    </w:rPr>
  </w:style>
  <w:style w:type="paragraph" w:styleId="765">
    <w:name w:val="列表 2"/>
    <w:basedOn w:val="729"/>
    <w:next w:val="765"/>
    <w:link w:val="729"/>
    <w:qFormat/>
    <w:pPr>
      <w:ind w:left="100" w:hanging="200"/>
    </w:pPr>
  </w:style>
  <w:style w:type="paragraph" w:styleId="766">
    <w:name w:val="文本块"/>
    <w:basedOn w:val="729"/>
    <w:next w:val="766"/>
    <w:link w:val="729"/>
    <w:qFormat/>
    <w:pPr>
      <w:ind w:left="480" w:right="-341" w:firstLine="513"/>
      <w:widowControl/>
    </w:pPr>
    <w:rPr>
      <w:sz w:val="24"/>
      <w:szCs w:val="20"/>
    </w:rPr>
  </w:style>
  <w:style w:type="paragraph" w:styleId="767">
    <w:name w:val="toc 5"/>
    <w:basedOn w:val="729"/>
    <w:next w:val="729"/>
    <w:link w:val="729"/>
    <w:qFormat/>
    <w:pPr>
      <w:ind w:left="1680"/>
    </w:pPr>
  </w:style>
  <w:style w:type="paragraph" w:styleId="768">
    <w:name w:val="toc 3"/>
    <w:basedOn w:val="729"/>
    <w:next w:val="729"/>
    <w:link w:val="729"/>
    <w:uiPriority w:val="39"/>
    <w:qFormat/>
    <w:pPr>
      <w:ind w:left="840"/>
    </w:pPr>
  </w:style>
  <w:style w:type="paragraph" w:styleId="769">
    <w:name w:val="纯文本"/>
    <w:basedOn w:val="729"/>
    <w:next w:val="769"/>
    <w:link w:val="770"/>
    <w:qFormat/>
    <w:rPr>
      <w:rFonts w:hint="eastAsia" w:ascii="宋体" w:hAnsi="Courier New"/>
      <w:szCs w:val="20"/>
    </w:rPr>
  </w:style>
  <w:style w:type="character" w:styleId="770">
    <w:name w:val="纯文本 字符2"/>
    <w:next w:val="770"/>
    <w:link w:val="769"/>
    <w:qFormat/>
    <w:rPr>
      <w:rFonts w:hint="eastAsia" w:ascii="宋体" w:hAnsi="Courier New" w:eastAsia="宋体" w:cs="宋体"/>
      <w:sz w:val="21"/>
    </w:rPr>
  </w:style>
  <w:style w:type="paragraph" w:styleId="771">
    <w:name w:val="toc 8"/>
    <w:basedOn w:val="729"/>
    <w:next w:val="729"/>
    <w:link w:val="729"/>
    <w:qFormat/>
    <w:pPr>
      <w:ind w:left="2940"/>
    </w:pPr>
  </w:style>
  <w:style w:type="paragraph" w:styleId="772">
    <w:name w:val="日期"/>
    <w:basedOn w:val="729"/>
    <w:next w:val="729"/>
    <w:link w:val="773"/>
    <w:qFormat/>
    <w:pPr>
      <w:ind w:left="100"/>
    </w:pPr>
    <w:rPr>
      <w:rFonts w:ascii="仿宋_GB2312" w:hAnsi="宋体" w:eastAsia="仿宋_GB2312"/>
      <w:color w:val="000000"/>
      <w:sz w:val="24"/>
    </w:rPr>
  </w:style>
  <w:style w:type="character" w:styleId="773">
    <w:name w:val="日期 字符"/>
    <w:next w:val="773"/>
    <w:link w:val="772"/>
    <w:qFormat/>
    <w:rPr>
      <w:rFonts w:ascii="仿宋_GB2312" w:hAnsi="宋体" w:eastAsia="仿宋_GB2312"/>
      <w:color w:val="000000"/>
      <w:sz w:val="24"/>
      <w:szCs w:val="24"/>
    </w:rPr>
  </w:style>
  <w:style w:type="paragraph" w:styleId="774">
    <w:name w:val="正文文本缩进 2"/>
    <w:basedOn w:val="729"/>
    <w:next w:val="774"/>
    <w:link w:val="775"/>
    <w:qFormat/>
    <w:pPr>
      <w:ind w:firstLine="480"/>
    </w:pPr>
    <w:rPr>
      <w:rFonts w:ascii="仿宋_GB2312" w:eastAsia="仿宋_GB2312"/>
      <w:sz w:val="24"/>
    </w:rPr>
  </w:style>
  <w:style w:type="character" w:styleId="775">
    <w:name w:val="正文文本缩进 2 字符"/>
    <w:next w:val="775"/>
    <w:link w:val="774"/>
    <w:qFormat/>
    <w:rPr>
      <w:rFonts w:ascii="仿宋_GB2312" w:eastAsia="仿宋_GB2312"/>
      <w:sz w:val="24"/>
      <w:szCs w:val="24"/>
    </w:rPr>
  </w:style>
  <w:style w:type="paragraph" w:styleId="776">
    <w:name w:val="批注框文本"/>
    <w:basedOn w:val="729"/>
    <w:next w:val="776"/>
    <w:link w:val="777"/>
    <w:qFormat/>
    <w:rPr>
      <w:sz w:val="18"/>
      <w:szCs w:val="18"/>
    </w:rPr>
  </w:style>
  <w:style w:type="character" w:styleId="777">
    <w:name w:val="批注框文本 字符"/>
    <w:next w:val="777"/>
    <w:link w:val="776"/>
    <w:qFormat/>
    <w:rPr>
      <w:sz w:val="18"/>
      <w:szCs w:val="18"/>
    </w:rPr>
  </w:style>
  <w:style w:type="paragraph" w:styleId="778">
    <w:name w:val="页脚"/>
    <w:basedOn w:val="729"/>
    <w:next w:val="778"/>
    <w:link w:val="779"/>
    <w:uiPriority w:val="99"/>
    <w:qFormat/>
    <w:pPr>
      <w:jc w:val="left"/>
      <w:tabs>
        <w:tab w:val="center" w:pos="4153" w:leader="none"/>
        <w:tab w:val="right" w:pos="8306" w:leader="none"/>
      </w:tabs>
    </w:pPr>
    <w:rPr>
      <w:rFonts w:ascii="宋体"/>
      <w:sz w:val="18"/>
      <w:szCs w:val="20"/>
    </w:rPr>
  </w:style>
  <w:style w:type="character" w:styleId="779">
    <w:name w:val="页脚 字符1"/>
    <w:next w:val="779"/>
    <w:link w:val="778"/>
    <w:uiPriority w:val="99"/>
    <w:qFormat/>
    <w:rPr>
      <w:rFonts w:ascii="宋体" w:eastAsia="宋体"/>
      <w:sz w:val="18"/>
      <w:lang w:val="en-US" w:eastAsia="zh-CN" w:bidi="ar-SA"/>
    </w:rPr>
  </w:style>
  <w:style w:type="paragraph" w:styleId="780">
    <w:name w:val="toc 1"/>
    <w:basedOn w:val="729"/>
    <w:next w:val="729"/>
    <w:link w:val="729"/>
    <w:uiPriority w:val="39"/>
    <w:qFormat/>
    <w:pPr>
      <w:spacing w:line="300" w:lineRule="auto"/>
      <w:tabs>
        <w:tab w:val="left" w:pos="1050" w:leader="none"/>
        <w:tab w:val="right" w:pos="8937" w:leader="dot"/>
      </w:tabs>
    </w:pPr>
    <w:rPr>
      <w:rFonts w:ascii="宋体" w:hAnsi="宋体"/>
      <w:b/>
      <w:sz w:val="24"/>
    </w:rPr>
  </w:style>
  <w:style w:type="paragraph" w:styleId="781">
    <w:name w:val="toc 4"/>
    <w:basedOn w:val="729"/>
    <w:next w:val="729"/>
    <w:link w:val="729"/>
    <w:qFormat/>
    <w:pPr>
      <w:ind w:left="1260"/>
    </w:pPr>
  </w:style>
  <w:style w:type="paragraph" w:styleId="782">
    <w:name w:val="toc 6"/>
    <w:basedOn w:val="729"/>
    <w:next w:val="729"/>
    <w:link w:val="729"/>
    <w:qFormat/>
    <w:pPr>
      <w:ind w:left="2100"/>
    </w:pPr>
  </w:style>
  <w:style w:type="paragraph" w:styleId="783">
    <w:name w:val="正文文本缩进 3"/>
    <w:basedOn w:val="729"/>
    <w:next w:val="783"/>
    <w:link w:val="784"/>
    <w:qFormat/>
    <w:pPr>
      <w:ind w:left="720" w:firstLine="480"/>
      <w:jc w:val="left"/>
      <w:spacing w:before="120" w:line="22" w:lineRule="atLeast"/>
    </w:pPr>
    <w:rPr>
      <w:rFonts w:ascii="宋体"/>
      <w:sz w:val="24"/>
      <w:szCs w:val="20"/>
    </w:rPr>
  </w:style>
  <w:style w:type="character" w:styleId="784">
    <w:name w:val="正文文本缩进 3 字符"/>
    <w:next w:val="784"/>
    <w:link w:val="783"/>
    <w:qFormat/>
    <w:rPr>
      <w:rFonts w:ascii="宋体"/>
      <w:sz w:val="24"/>
    </w:rPr>
  </w:style>
  <w:style w:type="paragraph" w:styleId="785">
    <w:name w:val="toc 2"/>
    <w:basedOn w:val="729"/>
    <w:next w:val="729"/>
    <w:link w:val="729"/>
    <w:uiPriority w:val="39"/>
    <w:qFormat/>
    <w:pPr>
      <w:ind w:left="420"/>
      <w:spacing w:line="312" w:lineRule="auto"/>
      <w:tabs>
        <w:tab w:val="right" w:pos="8937" w:leader="dot"/>
      </w:tabs>
    </w:pPr>
  </w:style>
  <w:style w:type="paragraph" w:styleId="786">
    <w:name w:val="toc 9"/>
    <w:basedOn w:val="729"/>
    <w:next w:val="729"/>
    <w:link w:val="729"/>
    <w:qFormat/>
    <w:pPr>
      <w:ind w:left="3360"/>
    </w:pPr>
  </w:style>
  <w:style w:type="paragraph" w:styleId="787">
    <w:name w:val="HTML 预设格式"/>
    <w:basedOn w:val="729"/>
    <w:next w:val="787"/>
    <w:link w:val="7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88">
    <w:name w:val="HTML 预设格式 字符"/>
    <w:next w:val="788"/>
    <w:link w:val="787"/>
    <w:qFormat/>
    <w:rPr>
      <w:rFonts w:ascii="宋体" w:hAnsi="宋体" w:cs="宋体"/>
      <w:sz w:val="24"/>
      <w:szCs w:val="24"/>
    </w:rPr>
  </w:style>
  <w:style w:type="paragraph" w:styleId="789">
    <w:name w:val="普通(网站)"/>
    <w:basedOn w:val="729"/>
    <w:next w:val="789"/>
    <w:link w:val="729"/>
    <w:unhideWhenUsed/>
    <w:qFormat/>
    <w:pPr>
      <w:jc w:val="left"/>
      <w:spacing w:before="100" w:beforeAutospacing="1" w:after="100" w:afterAutospacing="1"/>
      <w:widowControl/>
    </w:pPr>
    <w:rPr>
      <w:rFonts w:ascii="宋体" w:hAnsi="宋体" w:cs="宋体"/>
      <w:sz w:val="24"/>
    </w:rPr>
  </w:style>
  <w:style w:type="paragraph" w:styleId="790">
    <w:name w:val="索引 1"/>
    <w:basedOn w:val="729"/>
    <w:next w:val="729"/>
    <w:link w:val="729"/>
    <w:qFormat/>
    <w:rPr>
      <w:szCs w:val="20"/>
    </w:rPr>
  </w:style>
  <w:style w:type="paragraph" w:styleId="791">
    <w:name w:val="标题"/>
    <w:basedOn w:val="729"/>
    <w:next w:val="791"/>
    <w:link w:val="792"/>
    <w:qFormat/>
    <w:pPr>
      <w:jc w:val="center"/>
      <w:outlineLvl w:val="0"/>
    </w:pPr>
    <w:rPr>
      <w:b/>
      <w:sz w:val="32"/>
      <w:szCs w:val="20"/>
    </w:rPr>
  </w:style>
  <w:style w:type="character" w:styleId="792">
    <w:name w:val="标题 字符"/>
    <w:next w:val="792"/>
    <w:link w:val="791"/>
    <w:qFormat/>
    <w:rPr>
      <w:b/>
      <w:sz w:val="32"/>
    </w:rPr>
  </w:style>
  <w:style w:type="paragraph" w:styleId="793">
    <w:name w:val="批注主题"/>
    <w:basedOn w:val="757"/>
    <w:next w:val="757"/>
    <w:link w:val="794"/>
    <w:qFormat/>
    <w:rPr>
      <w:b/>
      <w:bCs/>
    </w:rPr>
  </w:style>
  <w:style w:type="character" w:styleId="794">
    <w:name w:val="批注主题 字符"/>
    <w:next w:val="794"/>
    <w:link w:val="793"/>
    <w:qFormat/>
    <w:rPr>
      <w:rFonts w:ascii="Times New Roman" w:hAnsi="Times New Roman" w:eastAsia="宋体" w:cs="Times New Roman"/>
      <w:b/>
      <w:bCs/>
      <w:sz w:val="21"/>
      <w:szCs w:val="24"/>
      <w:lang w:val="en-US" w:eastAsia="zh-CN" w:bidi="ar-SA"/>
    </w:rPr>
  </w:style>
  <w:style w:type="paragraph" w:styleId="795">
    <w:name w:val="正文文本首行缩进"/>
    <w:basedOn w:val="761"/>
    <w:next w:val="795"/>
    <w:link w:val="729"/>
    <w:uiPriority w:val="99"/>
    <w:qFormat/>
    <w:pPr>
      <w:ind w:firstLine="420"/>
      <w:tabs>
        <w:tab w:val="left" w:pos="567" w:leader="none"/>
      </w:tabs>
    </w:pPr>
  </w:style>
  <w:style w:type="paragraph" w:styleId="796">
    <w:name w:val="正文文本首行缩进 2"/>
    <w:basedOn w:val="763"/>
    <w:next w:val="796"/>
    <w:link w:val="797"/>
    <w:qFormat/>
    <w:pPr>
      <w:ind w:left="420" w:firstLine="420"/>
      <w:spacing w:after="120" w:line="480" w:lineRule="exact"/>
    </w:pPr>
  </w:style>
  <w:style w:type="character" w:styleId="797">
    <w:name w:val="正文文本首行缩进 2 字符"/>
    <w:next w:val="797"/>
    <w:link w:val="796"/>
    <w:qFormat/>
    <w:rPr>
      <w:rFonts w:eastAsia="宋体"/>
      <w:sz w:val="24"/>
      <w:szCs w:val="24"/>
      <w:lang w:val="en-US" w:eastAsia="zh-CN" w:bidi="ar-SA"/>
    </w:rPr>
  </w:style>
  <w:style w:type="table" w:styleId="798">
    <w:name w:val="网格型"/>
    <w:basedOn w:val="740"/>
    <w:next w:val="798"/>
    <w:link w:val="729"/>
    <w:qFormat/>
    <w:tblPr/>
  </w:style>
  <w:style w:type="table" w:styleId="799">
    <w:name w:val="中等深浅网格 1 - 着色 2"/>
    <w:basedOn w:val="740"/>
    <w:next w:val="799"/>
    <w:link w:val="729"/>
    <w:qFormat/>
    <w:rPr>
      <w:sz w:val="21"/>
      <w:szCs w:val="24"/>
    </w:rPr>
    <w:tblPr/>
  </w:style>
  <w:style w:type="character" w:styleId="800">
    <w:name w:val="要点"/>
    <w:next w:val="800"/>
    <w:link w:val="729"/>
    <w:qFormat/>
    <w:rPr>
      <w:b/>
      <w:bCs/>
    </w:rPr>
  </w:style>
  <w:style w:type="character" w:styleId="801">
    <w:name w:val="页码"/>
    <w:next w:val="801"/>
    <w:link w:val="729"/>
    <w:qFormat/>
  </w:style>
  <w:style w:type="character" w:styleId="802">
    <w:name w:val="访问过的超链接"/>
    <w:next w:val="802"/>
    <w:link w:val="729"/>
    <w:qFormat/>
    <w:rPr>
      <w:color w:val="333333"/>
      <w:u w:val="none"/>
    </w:rPr>
  </w:style>
  <w:style w:type="character" w:styleId="803">
    <w:name w:val="强调"/>
    <w:next w:val="803"/>
    <w:link w:val="729"/>
    <w:qFormat/>
    <w:rPr>
      <w:color w:val="cc0033"/>
    </w:rPr>
  </w:style>
  <w:style w:type="character" w:styleId="804">
    <w:name w:val="超链接"/>
    <w:next w:val="804"/>
    <w:link w:val="729"/>
    <w:uiPriority w:val="99"/>
    <w:qFormat/>
    <w:rPr>
      <w:color w:val="333333"/>
      <w:u w:val="none"/>
    </w:rPr>
  </w:style>
  <w:style w:type="character" w:styleId="805">
    <w:name w:val="批注引用"/>
    <w:next w:val="805"/>
    <w:link w:val="729"/>
    <w:qFormat/>
    <w:rPr>
      <w:sz w:val="21"/>
      <w:szCs w:val="21"/>
    </w:rPr>
  </w:style>
  <w:style w:type="character" w:styleId="806">
    <w:name w:val="HTML 引文"/>
    <w:next w:val="806"/>
    <w:link w:val="729"/>
    <w:qFormat/>
    <w:rPr>
      <w:i/>
      <w:iCs/>
    </w:rPr>
  </w:style>
  <w:style w:type="paragraph" w:styleId="807">
    <w:name w:val="Default"/>
    <w:next w:val="807"/>
    <w:link w:val="729"/>
    <w:qFormat/>
    <w:pPr>
      <w:widowControl w:val="off"/>
    </w:pPr>
    <w:rPr>
      <w:rFonts w:ascii="Symbol" w:hAnsi="Symbol" w:cs="Symbol"/>
      <w:color w:val="000000"/>
      <w:sz w:val="24"/>
      <w:szCs w:val="24"/>
      <w:lang w:val="en-US" w:eastAsia="zh-CN" w:bidi="ar-SA"/>
    </w:rPr>
  </w:style>
  <w:style w:type="character" w:styleId="808">
    <w:name w:val="批注文字 字符"/>
    <w:next w:val="808"/>
    <w:link w:val="729"/>
    <w:qFormat/>
    <w:rPr>
      <w:rFonts w:ascii="Times New Roman" w:hAnsi="Times New Roman" w:eastAsia="宋体" w:cs="Times New Roman"/>
      <w:sz w:val="24"/>
      <w:lang w:val="en-US" w:eastAsia="zh-CN" w:bidi="ar-SA"/>
    </w:rPr>
  </w:style>
  <w:style w:type="character" w:styleId="809">
    <w:name w:val="c21"/>
    <w:next w:val="809"/>
    <w:link w:val="729"/>
    <w:qFormat/>
    <w:rPr>
      <w:rFonts w:ascii="ˎ̥" w:hAnsi="ˎ̥"/>
      <w:color w:val="000000"/>
      <w:sz w:val="20"/>
      <w:szCs w:val="20"/>
      <w:u w:val="none"/>
    </w:rPr>
  </w:style>
  <w:style w:type="character" w:styleId="810">
    <w:name w:val="title4"/>
    <w:next w:val="810"/>
    <w:link w:val="729"/>
    <w:qFormat/>
    <w:rPr>
      <w:b/>
      <w:bCs/>
      <w:color w:val="1d87b3"/>
      <w:sz w:val="15"/>
      <w:szCs w:val="15"/>
    </w:rPr>
  </w:style>
  <w:style w:type="character" w:styleId="811">
    <w:name w:val="标题 2 Char Char"/>
    <w:next w:val="811"/>
    <w:link w:val="729"/>
    <w:qFormat/>
    <w:rPr>
      <w:rFonts w:ascii="Arial" w:hAnsi="Arial" w:eastAsia="黑体"/>
      <w:b/>
      <w:bCs/>
      <w:sz w:val="32"/>
      <w:szCs w:val="32"/>
      <w:lang w:val="en-US" w:eastAsia="zh-CN" w:bidi="ar-SA"/>
    </w:rPr>
  </w:style>
  <w:style w:type="character" w:styleId="812">
    <w:name w:val="black1"/>
    <w:next w:val="812"/>
    <w:link w:val="729"/>
    <w:qFormat/>
    <w:rPr>
      <w:color w:val="000000"/>
    </w:rPr>
  </w:style>
  <w:style w:type="character" w:styleId="813">
    <w:name w:val="street-address"/>
    <w:next w:val="813"/>
    <w:link w:val="729"/>
    <w:qFormat/>
  </w:style>
  <w:style w:type="character" w:styleId="814">
    <w:name w:val="locality"/>
    <w:next w:val="814"/>
    <w:link w:val="729"/>
    <w:qFormat/>
  </w:style>
  <w:style w:type="character" w:styleId="815">
    <w:name w:val="正文文本缩进 Char1"/>
    <w:next w:val="815"/>
    <w:link w:val="816"/>
    <w:qFormat/>
    <w:rPr>
      <w:rFonts w:ascii="宋体" w:hAnsi="宋体" w:eastAsia="宋体"/>
      <w:sz w:val="24"/>
      <w:szCs w:val="24"/>
      <w:lang w:bidi="ar-SA"/>
    </w:rPr>
  </w:style>
  <w:style w:type="paragraph" w:styleId="816">
    <w:name w:val="正文文本缩进1"/>
    <w:basedOn w:val="729"/>
    <w:next w:val="816"/>
    <w:link w:val="815"/>
    <w:qFormat/>
    <w:pPr>
      <w:ind w:firstLine="480"/>
      <w:spacing w:line="480" w:lineRule="exact"/>
    </w:pPr>
    <w:rPr>
      <w:rFonts w:ascii="宋体" w:hAnsi="宋体"/>
      <w:sz w:val="24"/>
    </w:rPr>
  </w:style>
  <w:style w:type="character" w:styleId="817">
    <w:name w:val="Char Char11"/>
    <w:next w:val="817"/>
    <w:link w:val="729"/>
    <w:qFormat/>
    <w:rPr>
      <w:rFonts w:ascii="宋体" w:eastAsia="宋体"/>
      <w:b/>
      <w:sz w:val="24"/>
      <w:u w:val="single"/>
      <w:lang w:val="en-US" w:eastAsia="zh-CN" w:bidi="ar-SA"/>
    </w:rPr>
  </w:style>
  <w:style w:type="character" w:styleId="818">
    <w:name w:val="txt"/>
    <w:next w:val="818"/>
    <w:link w:val="729"/>
    <w:qFormat/>
  </w:style>
  <w:style w:type="character" w:styleId="819">
    <w:name w:val="正文缩进 Char Char"/>
    <w:next w:val="819"/>
    <w:link w:val="820"/>
    <w:qFormat/>
    <w:rPr>
      <w:rFonts w:ascii="宋体" w:eastAsia="宋体"/>
      <w:color w:val="000000"/>
      <w:sz w:val="28"/>
      <w:lang w:bidi="ar-SA"/>
    </w:rPr>
  </w:style>
  <w:style w:type="paragraph" w:styleId="820">
    <w:name w:val="正文缩进1"/>
    <w:basedOn w:val="729"/>
    <w:next w:val="820"/>
    <w:link w:val="819"/>
    <w:qFormat/>
    <w:pPr>
      <w:ind w:firstLine="567"/>
      <w:spacing w:line="480" w:lineRule="exact"/>
      <w:widowControl/>
    </w:pPr>
    <w:rPr>
      <w:rFonts w:ascii="宋体"/>
      <w:color w:val="000000"/>
      <w:sz w:val="28"/>
      <w:szCs w:val="20"/>
    </w:rPr>
  </w:style>
  <w:style w:type="character" w:styleId="821">
    <w:name w:val="普通文字1 Char1"/>
    <w:next w:val="821"/>
    <w:link w:val="729"/>
    <w:qFormat/>
    <w:rPr>
      <w:rFonts w:ascii="宋体" w:hAnsi="Courier New" w:eastAsia="宋体"/>
      <w:sz w:val="21"/>
      <w:lang w:val="en-US" w:eastAsia="zh-CN" w:bidi="ar-SA"/>
    </w:rPr>
  </w:style>
  <w:style w:type="character" w:styleId="822">
    <w:name w:val="chanpin1"/>
    <w:next w:val="822"/>
    <w:link w:val="729"/>
    <w:qFormat/>
    <w:rPr>
      <w:rFonts w:ascii="ˎ̥" w:hAnsi="ˎ̥"/>
      <w:color w:val="000000"/>
      <w:sz w:val="20"/>
      <w:szCs w:val="20"/>
      <w:u w:val="none"/>
    </w:rPr>
  </w:style>
  <w:style w:type="character" w:styleId="823">
    <w:name w:val="列表段落 字符"/>
    <w:next w:val="823"/>
    <w:link w:val="824"/>
    <w:uiPriority w:val="34"/>
    <w:qFormat/>
    <w:rPr>
      <w:rFonts w:ascii="Calibri" w:hAnsi="Calibri" w:eastAsia="宋体"/>
      <w:sz w:val="21"/>
      <w:szCs w:val="22"/>
      <w:lang w:val="en-US" w:eastAsia="zh-CN" w:bidi="ar-SA"/>
    </w:rPr>
  </w:style>
  <w:style w:type="paragraph" w:styleId="824">
    <w:name w:val="列表段落"/>
    <w:basedOn w:val="729"/>
    <w:next w:val="824"/>
    <w:link w:val="823"/>
    <w:uiPriority w:val="99"/>
    <w:qFormat/>
    <w:pPr>
      <w:ind w:firstLine="420"/>
    </w:pPr>
    <w:rPr>
      <w:rFonts w:ascii="Calibri" w:hAnsi="Calibri"/>
      <w:szCs w:val="22"/>
    </w:rPr>
  </w:style>
  <w:style w:type="character" w:styleId="825">
    <w:name w:val="标题 3 Char Char"/>
    <w:next w:val="825"/>
    <w:link w:val="729"/>
    <w:qFormat/>
    <w:rPr>
      <w:rFonts w:eastAsia="宋体"/>
      <w:b/>
      <w:bCs/>
      <w:sz w:val="32"/>
      <w:szCs w:val="32"/>
      <w:lang w:val="en-US" w:eastAsia="zh-CN" w:bidi="ar-SA"/>
    </w:rPr>
  </w:style>
  <w:style w:type="character" w:styleId="826">
    <w:name w:val="段1 Char"/>
    <w:next w:val="826"/>
    <w:link w:val="729"/>
    <w:qFormat/>
    <w:rPr>
      <w:rFonts w:ascii="宋体" w:eastAsia="宋体"/>
      <w:sz w:val="24"/>
      <w:lang w:val="en-US" w:eastAsia="zh-CN" w:bidi="ar-SA"/>
    </w:rPr>
  </w:style>
  <w:style w:type="character" w:styleId="827">
    <w:name w:val="chanpin拷贝"/>
    <w:next w:val="827"/>
    <w:link w:val="729"/>
    <w:qFormat/>
  </w:style>
  <w:style w:type="character" w:styleId="828">
    <w:name w:val="纯文本 Char1"/>
    <w:next w:val="828"/>
    <w:link w:val="729"/>
    <w:qFormat/>
    <w:rPr>
      <w:rFonts w:ascii="宋体" w:hAnsi="Courier New" w:eastAsia="宋体"/>
      <w:sz w:val="21"/>
      <w:lang w:val="en-US" w:eastAsia="zh-CN" w:bidi="ar-SA"/>
    </w:rPr>
  </w:style>
  <w:style w:type="character" w:styleId="829">
    <w:name w:val="apple-style-span"/>
    <w:next w:val="829"/>
    <w:link w:val="729"/>
    <w:qFormat/>
    <w:rPr>
      <w:rFonts w:cs="Times New Roman"/>
    </w:rPr>
  </w:style>
  <w:style w:type="paragraph" w:styleId="830">
    <w:name w:val="二级条标题"/>
    <w:basedOn w:val="831"/>
    <w:next w:val="729"/>
    <w:link w:val="729"/>
    <w:qFormat/>
    <w:pPr>
      <w:numPr>
        <w:ilvl w:val="0"/>
        <w:numId w:val="0"/>
      </w:numPr>
      <w:ind w:hanging="840"/>
      <w:tabs>
        <w:tab w:val="left" w:pos="360" w:leader="none"/>
        <w:tab w:val="left" w:pos="840" w:leader="none"/>
      </w:tabs>
      <w:outlineLvl w:val="2"/>
    </w:pPr>
    <w:rPr>
      <w:rFonts w:ascii="宋体" w:eastAsia="宋体"/>
      <w:b w:val="0"/>
    </w:rPr>
  </w:style>
  <w:style w:type="paragraph" w:styleId="831">
    <w:name w:val="一级条标题"/>
    <w:basedOn w:val="832"/>
    <w:next w:val="729"/>
    <w:link w:val="729"/>
    <w:qFormat/>
    <w:pPr>
      <w:numPr>
        <w:ilvl w:val="1"/>
      </w:numPr>
      <w:ind w:left="0" w:hanging="840"/>
      <w:tabs>
        <w:tab w:val="left" w:pos="360" w:leader="none"/>
        <w:tab w:val="left" w:pos="840" w:leader="none"/>
      </w:tabs>
      <w:outlineLvl w:val="1"/>
    </w:pPr>
  </w:style>
  <w:style w:type="paragraph" w:styleId="832">
    <w:name w:val="章标题"/>
    <w:next w:val="729"/>
    <w:link w:val="72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3">
    <w:name w:val="font7"/>
    <w:basedOn w:val="729"/>
    <w:next w:val="833"/>
    <w:link w:val="729"/>
    <w:qFormat/>
    <w:pPr>
      <w:jc w:val="left"/>
      <w:spacing w:before="100" w:beforeAutospacing="1" w:after="100" w:afterAutospacing="1"/>
      <w:widowControl/>
    </w:pPr>
    <w:rPr>
      <w:rFonts w:eastAsia="Arial Unicode MS"/>
      <w:b/>
      <w:bCs/>
      <w:color w:val="000000"/>
      <w:sz w:val="20"/>
      <w:szCs w:val="20"/>
    </w:rPr>
  </w:style>
  <w:style w:type="paragraph" w:styleId="834">
    <w:name w:val="字元 字元"/>
    <w:basedOn w:val="729"/>
    <w:next w:val="834"/>
    <w:link w:val="729"/>
    <w:qFormat/>
    <w:rPr>
      <w:rFonts w:ascii="Tahoma" w:hAnsi="Tahoma"/>
      <w:sz w:val="24"/>
      <w:szCs w:val="20"/>
    </w:rPr>
  </w:style>
  <w:style w:type="paragraph" w:styleId="835">
    <w:name w:val="Char3 Char Char Char"/>
    <w:basedOn w:val="729"/>
    <w:next w:val="835"/>
    <w:link w:val="729"/>
    <w:qFormat/>
    <w:rPr>
      <w:rFonts w:ascii="Tahoma" w:hAnsi="Tahoma"/>
      <w:sz w:val="24"/>
      <w:szCs w:val="20"/>
    </w:rPr>
  </w:style>
  <w:style w:type="paragraph" w:styleId="836">
    <w:name w:val="font6"/>
    <w:basedOn w:val="729"/>
    <w:next w:val="836"/>
    <w:link w:val="729"/>
    <w:qFormat/>
    <w:pPr>
      <w:jc w:val="left"/>
      <w:spacing w:before="100" w:beforeAutospacing="1" w:after="100" w:afterAutospacing="1"/>
      <w:widowControl/>
    </w:pPr>
    <w:rPr>
      <w:rFonts w:ascii="宋体" w:hAnsi="宋体" w:cs="宋体"/>
      <w:sz w:val="20"/>
      <w:szCs w:val="20"/>
    </w:rPr>
  </w:style>
  <w:style w:type="paragraph" w:styleId="837">
    <w:name w:val="项目编号2"/>
    <w:basedOn w:val="838"/>
    <w:next w:val="837"/>
    <w:link w:val="729"/>
    <w:qFormat/>
    <w:pPr>
      <w:numPr>
        <w:numId w:val="3"/>
      </w:numPr>
    </w:pPr>
  </w:style>
  <w:style w:type="paragraph" w:styleId="838">
    <w:name w:val="项目编号1"/>
    <w:basedOn w:val="729"/>
    <w:next w:val="838"/>
    <w:link w:val="729"/>
    <w:qFormat/>
    <w:pPr>
      <w:numPr>
        <w:ilvl w:val="0"/>
        <w:numId w:val="2"/>
      </w:numPr>
      <w:spacing w:before="100" w:beforeAutospacing="1" w:after="100" w:afterAutospacing="1" w:line="360" w:lineRule="auto"/>
    </w:pPr>
    <w:rPr>
      <w:sz w:val="24"/>
    </w:rPr>
  </w:style>
  <w:style w:type="paragraph" w:styleId="839">
    <w:name w:val="图中文字"/>
    <w:basedOn w:val="729"/>
    <w:next w:val="839"/>
    <w:link w:val="729"/>
    <w:qFormat/>
    <w:pPr>
      <w:jc w:val="center"/>
      <w:spacing w:line="0" w:lineRule="atLeast"/>
    </w:pPr>
    <w:rPr>
      <w:sz w:val="24"/>
      <w:szCs w:val="20"/>
    </w:rPr>
  </w:style>
  <w:style w:type="paragraph" w:styleId="840">
    <w:name w:val="xl46"/>
    <w:basedOn w:val="729"/>
    <w:next w:val="840"/>
    <w:link w:val="7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1">
    <w:name w:val="xl25"/>
    <w:basedOn w:val="729"/>
    <w:next w:val="841"/>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2">
    <w:name w:val="Char2"/>
    <w:basedOn w:val="729"/>
    <w:next w:val="842"/>
    <w:link w:val="729"/>
    <w:qFormat/>
    <w:rPr>
      <w:rFonts w:ascii="Tahoma" w:hAnsi="Tahoma"/>
      <w:sz w:val="24"/>
      <w:szCs w:val="20"/>
    </w:rPr>
  </w:style>
  <w:style w:type="paragraph" w:styleId="843">
    <w:name w:val="xl35"/>
    <w:basedOn w:val="729"/>
    <w:next w:val="843"/>
    <w:link w:val="7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4">
    <w:name w:val="xl40"/>
    <w:basedOn w:val="729"/>
    <w:next w:val="844"/>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5">
    <w:name w:val="xl52"/>
    <w:basedOn w:val="729"/>
    <w:next w:val="845"/>
    <w:link w:val="7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6">
    <w:name w:val="xl43"/>
    <w:basedOn w:val="729"/>
    <w:next w:val="846"/>
    <w:link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7">
    <w:name w:val="background1"/>
    <w:basedOn w:val="729"/>
    <w:next w:val="847"/>
    <w:link w:val="729"/>
    <w:qFormat/>
    <w:pPr>
      <w:jc w:val="left"/>
      <w:spacing w:before="100" w:beforeAutospacing="1" w:after="100" w:afterAutospacing="1"/>
      <w:widowControl/>
    </w:pPr>
    <w:rPr>
      <w:rFonts w:ascii="宋体" w:hAnsi="宋体" w:cs="宋体"/>
      <w:sz w:val="24"/>
    </w:rPr>
  </w:style>
  <w:style w:type="paragraph" w:styleId="848">
    <w:name w:val="Char Char Char Char Char Char Char"/>
    <w:basedOn w:val="729"/>
    <w:next w:val="848"/>
    <w:link w:val="729"/>
    <w:qFormat/>
    <w:pPr>
      <w:ind w:firstLine="200"/>
      <w:spacing w:line="360" w:lineRule="auto"/>
    </w:pPr>
    <w:rPr>
      <w:rFonts w:eastAsia="仿宋_GB2312"/>
      <w:sz w:val="24"/>
    </w:rPr>
  </w:style>
  <w:style w:type="paragraph" w:styleId="849">
    <w:name w:val="xl38"/>
    <w:basedOn w:val="729"/>
    <w:next w:val="849"/>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50">
    <w:name w:val="xl36"/>
    <w:basedOn w:val="729"/>
    <w:next w:val="850"/>
    <w:link w:val="7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1">
    <w:name w:val="正文 + 宋体"/>
    <w:basedOn w:val="729"/>
    <w:next w:val="851"/>
    <w:link w:val="729"/>
    <w:qFormat/>
    <w:pPr>
      <w:ind w:left="360" w:hanging="360"/>
      <w:jc w:val="left"/>
      <w:widowControl/>
    </w:pPr>
    <w:rPr>
      <w:rFonts w:ascii="宋体" w:hAnsi="宋体" w:cs="宋体"/>
      <w:b/>
      <w:bCs/>
      <w:color w:val="000000"/>
      <w:sz w:val="18"/>
      <w:szCs w:val="18"/>
    </w:rPr>
  </w:style>
  <w:style w:type="paragraph" w:styleId="852">
    <w:name w:val="正文列项_数字"/>
    <w:basedOn w:val="729"/>
    <w:next w:val="852"/>
    <w:link w:val="729"/>
    <w:qFormat/>
    <w:pPr>
      <w:numPr>
        <w:ilvl w:val="7"/>
        <w:numId w:val="1"/>
      </w:numPr>
      <w:ind w:left="680" w:hanging="150"/>
      <w:spacing w:line="460" w:lineRule="exact"/>
      <w:tabs>
        <w:tab w:val="clear" w:pos="860" w:leader="none"/>
      </w:tabs>
      <w:outlineLvl w:val="7"/>
    </w:pPr>
    <w:rPr>
      <w:rFonts w:ascii="宋体"/>
      <w:sz w:val="28"/>
      <w:szCs w:val="20"/>
    </w:rPr>
  </w:style>
  <w:style w:type="paragraph" w:styleId="853">
    <w:name w:val="xl39"/>
    <w:basedOn w:val="729"/>
    <w:next w:val="853"/>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4">
    <w:name w:val="xl37"/>
    <w:basedOn w:val="729"/>
    <w:next w:val="854"/>
    <w:link w:val="7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5">
    <w:name w:val="xl32"/>
    <w:basedOn w:val="729"/>
    <w:next w:val="855"/>
    <w:link w:val="7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6">
    <w:name w:val="font8"/>
    <w:basedOn w:val="729"/>
    <w:next w:val="856"/>
    <w:link w:val="729"/>
    <w:qFormat/>
    <w:pPr>
      <w:jc w:val="left"/>
      <w:spacing w:before="100" w:beforeAutospacing="1" w:after="100" w:afterAutospacing="1"/>
      <w:widowControl/>
    </w:pPr>
    <w:rPr>
      <w:sz w:val="36"/>
      <w:szCs w:val="36"/>
    </w:rPr>
  </w:style>
  <w:style w:type="paragraph" w:styleId="857">
    <w:name w:val="Char"/>
    <w:basedOn w:val="729"/>
    <w:next w:val="857"/>
    <w:link w:val="729"/>
    <w:qFormat/>
    <w:pPr>
      <w:tabs>
        <w:tab w:val="left" w:pos="360" w:leader="none"/>
      </w:tabs>
    </w:pPr>
    <w:rPr>
      <w:sz w:val="24"/>
    </w:rPr>
  </w:style>
  <w:style w:type="paragraph" w:styleId="858">
    <w:name w:val="Char Char Char Char Char Char Char Char Char Char Char Char Char Char Char Char"/>
    <w:basedOn w:val="729"/>
    <w:next w:val="858"/>
    <w:link w:val="729"/>
    <w:qFormat/>
    <w:pPr>
      <w:jc w:val="center"/>
      <w:spacing w:after="160" w:line="240" w:lineRule="exact"/>
      <w:widowControl/>
    </w:pPr>
    <w:rPr>
      <w:rFonts w:ascii="宋体" w:hAnsi="宋体"/>
      <w:b/>
      <w:sz w:val="30"/>
      <w:szCs w:val="30"/>
      <w:lang w:eastAsia="en-US"/>
    </w:rPr>
  </w:style>
  <w:style w:type="paragraph" w:styleId="859">
    <w:name w:val="xl45"/>
    <w:basedOn w:val="729"/>
    <w:next w:val="859"/>
    <w:link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0">
    <w:name w:val="Char Char1 Char Char Char Char Char Char"/>
    <w:basedOn w:val="729"/>
    <w:next w:val="860"/>
    <w:link w:val="729"/>
    <w:qFormat/>
    <w:pPr>
      <w:jc w:val="left"/>
      <w:spacing w:after="160" w:line="240" w:lineRule="exact"/>
      <w:widowControl/>
    </w:pPr>
    <w:rPr>
      <w:rFonts w:ascii="Verdana" w:hAnsi="Verdana" w:eastAsia="仿宋_GB2312"/>
      <w:sz w:val="24"/>
      <w:szCs w:val="20"/>
      <w:lang w:eastAsia="en-US"/>
    </w:rPr>
  </w:style>
  <w:style w:type="paragraph" w:styleId="861">
    <w:name w:val="Char Char1"/>
    <w:basedOn w:val="755"/>
    <w:next w:val="861"/>
    <w:link w:val="729"/>
    <w:qFormat/>
    <w:rPr>
      <w:rFonts w:ascii="Tahoma" w:hAnsi="Tahoma"/>
      <w:sz w:val="24"/>
    </w:rPr>
  </w:style>
  <w:style w:type="paragraph" w:styleId="862">
    <w:name w:val="xl26"/>
    <w:basedOn w:val="729"/>
    <w:next w:val="862"/>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3">
    <w:name w:val="xl30"/>
    <w:basedOn w:val="729"/>
    <w:next w:val="863"/>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4">
    <w:name w:val="xl41"/>
    <w:basedOn w:val="729"/>
    <w:next w:val="864"/>
    <w:link w:val="7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5">
    <w:name w:val="样式 宋体 五号 行距: 单倍行距"/>
    <w:basedOn w:val="729"/>
    <w:next w:val="865"/>
    <w:link w:val="729"/>
    <w:qFormat/>
    <w:pPr>
      <w:jc w:val="left"/>
    </w:pPr>
    <w:rPr>
      <w:rFonts w:ascii="宋体" w:hAnsi="宋体"/>
      <w:szCs w:val="20"/>
    </w:rPr>
  </w:style>
  <w:style w:type="paragraph" w:styleId="866">
    <w:name w:val="Char1 Char Char Char1"/>
    <w:basedOn w:val="729"/>
    <w:next w:val="866"/>
    <w:link w:val="729"/>
    <w:qFormat/>
    <w:rPr>
      <w:rFonts w:ascii="Tahoma" w:hAnsi="Tahoma" w:cs="仿宋_GB2312"/>
      <w:sz w:val="24"/>
      <w:szCs w:val="28"/>
    </w:rPr>
  </w:style>
  <w:style w:type="paragraph" w:styleId="867">
    <w:name w:val="四级条标题"/>
    <w:basedOn w:val="868"/>
    <w:next w:val="729"/>
    <w:link w:val="729"/>
    <w:qFormat/>
    <w:pPr>
      <w:numPr>
        <w:ilvl w:val="4"/>
      </w:numPr>
      <w:ind w:left="0" w:hanging="840"/>
      <w:tabs>
        <w:tab w:val="left" w:pos="360" w:leader="none"/>
        <w:tab w:val="left" w:pos="840" w:leader="none"/>
      </w:tabs>
      <w:outlineLvl w:val="4"/>
    </w:pPr>
  </w:style>
  <w:style w:type="paragraph" w:styleId="868">
    <w:name w:val="三级条标题"/>
    <w:basedOn w:val="830"/>
    <w:next w:val="729"/>
    <w:link w:val="729"/>
    <w:qFormat/>
    <w:pPr>
      <w:numPr>
        <w:ilvl w:val="3"/>
        <w:numId w:val="1"/>
      </w:numPr>
      <w:ind w:left="0" w:hanging="840"/>
      <w:tabs>
        <w:tab w:val="left" w:pos="360" w:leader="none"/>
        <w:tab w:val="left" w:pos="840" w:leader="none"/>
      </w:tabs>
      <w:outlineLvl w:val="3"/>
    </w:pPr>
  </w:style>
  <w:style w:type="paragraph" w:styleId="869">
    <w:name w:val="??"/>
    <w:next w:val="869"/>
    <w:link w:val="729"/>
    <w:qFormat/>
    <w:pPr>
      <w:jc w:val="both"/>
      <w:widowControl w:val="off"/>
    </w:pPr>
    <w:rPr>
      <w:sz w:val="21"/>
      <w:lang w:val="en-US" w:eastAsia="en-US" w:bidi="ar-SA"/>
    </w:rPr>
  </w:style>
  <w:style w:type="paragraph" w:styleId="870">
    <w:name w:val="样式 标题 2 + 宋体 五号 行距: 单倍行距"/>
    <w:basedOn w:val="731"/>
    <w:next w:val="870"/>
    <w:link w:val="72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71">
    <w:name w:val="List Paragraph1"/>
    <w:basedOn w:val="729"/>
    <w:next w:val="871"/>
    <w:link w:val="729"/>
    <w:qFormat/>
    <w:pPr>
      <w:ind w:firstLine="420"/>
    </w:pPr>
    <w:rPr>
      <w:rFonts w:ascii="Calibri" w:hAnsi="Calibri"/>
      <w:szCs w:val="22"/>
    </w:rPr>
  </w:style>
  <w:style w:type="paragraph" w:styleId="872">
    <w:name w:val="项目符号1"/>
    <w:basedOn w:val="873"/>
    <w:next w:val="872"/>
    <w:link w:val="729"/>
    <w:qFormat/>
    <w:pPr>
      <w:ind w:left="-25" w:firstLine="0"/>
    </w:pPr>
  </w:style>
  <w:style w:type="paragraph" w:styleId="873">
    <w:name w:val="正文文本样式"/>
    <w:basedOn w:val="729"/>
    <w:next w:val="873"/>
    <w:link w:val="729"/>
    <w:qFormat/>
    <w:pPr>
      <w:ind w:firstLine="482"/>
      <w:spacing w:line="360" w:lineRule="auto"/>
    </w:pPr>
    <w:rPr>
      <w:rFonts w:cs="宋体"/>
      <w:sz w:val="24"/>
      <w:szCs w:val="20"/>
    </w:rPr>
  </w:style>
  <w:style w:type="paragraph" w:styleId="874">
    <w:name w:val="xl27"/>
    <w:basedOn w:val="729"/>
    <w:next w:val="874"/>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5">
    <w:name w:val="font5"/>
    <w:basedOn w:val="729"/>
    <w:next w:val="875"/>
    <w:link w:val="729"/>
    <w:qFormat/>
    <w:pPr>
      <w:jc w:val="left"/>
      <w:spacing w:before="100" w:beforeAutospacing="1" w:after="100" w:afterAutospacing="1"/>
      <w:widowControl/>
    </w:pPr>
    <w:rPr>
      <w:rFonts w:ascii="宋体" w:hAnsi="宋体" w:cs="宋体"/>
      <w:sz w:val="18"/>
      <w:szCs w:val="18"/>
    </w:rPr>
  </w:style>
  <w:style w:type="paragraph" w:styleId="876">
    <w:name w:val="五级条标题"/>
    <w:basedOn w:val="867"/>
    <w:next w:val="729"/>
    <w:link w:val="729"/>
    <w:qFormat/>
    <w:pPr>
      <w:numPr>
        <w:ilvl w:val="5"/>
      </w:numPr>
      <w:ind w:left="0" w:hanging="840"/>
      <w:tabs>
        <w:tab w:val="left" w:pos="360" w:leader="none"/>
        <w:tab w:val="left" w:pos="840" w:leader="none"/>
      </w:tabs>
      <w:outlineLvl w:val="5"/>
    </w:pPr>
  </w:style>
  <w:style w:type="paragraph" w:styleId="877">
    <w:name w:val="xl49"/>
    <w:basedOn w:val="729"/>
    <w:next w:val="877"/>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8">
    <w:name w:val="文档正文"/>
    <w:basedOn w:val="729"/>
    <w:next w:val="878"/>
    <w:link w:val="729"/>
    <w:qFormat/>
    <w:pPr>
      <w:spacing w:before="120" w:after="120" w:line="180" w:lineRule="auto"/>
    </w:pPr>
    <w:rPr>
      <w:rFonts w:ascii="Arial" w:hAnsi="Arial"/>
      <w:szCs w:val="20"/>
    </w:rPr>
  </w:style>
  <w:style w:type="paragraph" w:styleId="879">
    <w:name w:val="xl33"/>
    <w:basedOn w:val="729"/>
    <w:next w:val="879"/>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80">
    <w:name w:val="xl42"/>
    <w:basedOn w:val="729"/>
    <w:next w:val="880"/>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81">
    <w:name w:val="Char Char Char1 Char"/>
    <w:basedOn w:val="729"/>
    <w:next w:val="881"/>
    <w:link w:val="729"/>
    <w:qFormat/>
    <w:rPr>
      <w:rFonts w:ascii="Tahoma" w:hAnsi="Tahoma"/>
      <w:sz w:val="24"/>
      <w:szCs w:val="20"/>
    </w:rPr>
  </w:style>
  <w:style w:type="paragraph" w:styleId="882">
    <w:name w:val="xl44"/>
    <w:basedOn w:val="729"/>
    <w:next w:val="882"/>
    <w:link w:val="7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3">
    <w:name w:val="1名"/>
    <w:basedOn w:val="729"/>
    <w:next w:val="883"/>
    <w:link w:val="729"/>
    <w:qFormat/>
    <w:pPr>
      <w:numPr>
        <w:ilvl w:val="0"/>
        <w:numId w:val="5"/>
      </w:numPr>
      <w:spacing w:before="120"/>
      <w:tabs>
        <w:tab w:val="left" w:pos="360" w:leader="none"/>
      </w:tabs>
    </w:pPr>
    <w:rPr>
      <w:rFonts w:ascii="宋体"/>
      <w:sz w:val="28"/>
      <w:szCs w:val="20"/>
    </w:rPr>
  </w:style>
  <w:style w:type="paragraph" w:styleId="884">
    <w:name w:val="font9"/>
    <w:basedOn w:val="729"/>
    <w:next w:val="884"/>
    <w:link w:val="729"/>
    <w:qFormat/>
    <w:pPr>
      <w:jc w:val="left"/>
      <w:spacing w:before="100" w:beforeAutospacing="1" w:after="100" w:afterAutospacing="1"/>
      <w:widowControl/>
    </w:pPr>
    <w:rPr>
      <w:rFonts w:hint="eastAsia" w:ascii="宋体" w:hAnsi="宋体" w:cs="Arial Unicode MS"/>
      <w:color w:val="000000"/>
      <w:sz w:val="20"/>
      <w:szCs w:val="20"/>
    </w:rPr>
  </w:style>
  <w:style w:type="paragraph" w:styleId="885">
    <w:name w:val="Char Char Char1 Char1"/>
    <w:basedOn w:val="729"/>
    <w:next w:val="885"/>
    <w:link w:val="729"/>
    <w:qFormat/>
    <w:rPr>
      <w:rFonts w:ascii="Tahoma" w:hAnsi="Tahoma"/>
      <w:sz w:val="24"/>
      <w:szCs w:val="20"/>
    </w:rPr>
  </w:style>
  <w:style w:type="paragraph" w:styleId="886">
    <w:name w:val="Char Char Char Char Char Char Char Char Char Char"/>
    <w:basedOn w:val="729"/>
    <w:next w:val="886"/>
    <w:link w:val="729"/>
    <w:qFormat/>
  </w:style>
  <w:style w:type="paragraph" w:styleId="887">
    <w:name w:val="Char Char1 Char Char Char Char Char Char Char Char"/>
    <w:basedOn w:val="729"/>
    <w:next w:val="887"/>
    <w:link w:val="729"/>
    <w:qFormat/>
    <w:pPr>
      <w:jc w:val="left"/>
      <w:spacing w:after="160" w:line="240" w:lineRule="exact"/>
      <w:widowControl/>
    </w:pPr>
    <w:rPr>
      <w:rFonts w:ascii="Verdana" w:hAnsi="Verdana"/>
      <w:sz w:val="20"/>
      <w:szCs w:val="20"/>
      <w:lang w:eastAsia="en-US"/>
    </w:rPr>
  </w:style>
  <w:style w:type="paragraph" w:styleId="888">
    <w:name w:val="Char1"/>
    <w:basedOn w:val="729"/>
    <w:next w:val="888"/>
    <w:link w:val="729"/>
    <w:qFormat/>
    <w:pPr>
      <w:tabs>
        <w:tab w:val="left" w:pos="360" w:leader="none"/>
      </w:tabs>
    </w:pPr>
    <w:rPr>
      <w:sz w:val="24"/>
    </w:rPr>
  </w:style>
  <w:style w:type="paragraph" w:styleId="889">
    <w:name w:val="正文列项_字母"/>
    <w:basedOn w:val="729"/>
    <w:next w:val="889"/>
    <w:link w:val="729"/>
    <w:qFormat/>
    <w:pPr>
      <w:numPr>
        <w:ilvl w:val="6"/>
        <w:numId w:val="1"/>
      </w:numPr>
      <w:ind w:left="480" w:hanging="180"/>
      <w:spacing w:line="460" w:lineRule="exact"/>
      <w:tabs>
        <w:tab w:val="clear" w:pos="635" w:leader="none"/>
      </w:tabs>
      <w:outlineLvl w:val="6"/>
    </w:pPr>
    <w:rPr>
      <w:rFonts w:ascii="宋体"/>
      <w:sz w:val="28"/>
      <w:szCs w:val="20"/>
    </w:rPr>
  </w:style>
  <w:style w:type="paragraph" w:styleId="890">
    <w:name w:val="xl28"/>
    <w:basedOn w:val="729"/>
    <w:next w:val="890"/>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xl47"/>
    <w:basedOn w:val="729"/>
    <w:next w:val="891"/>
    <w:link w:val="7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2">
    <w:name w:val="默认段落字体 Para Char Char Char Char"/>
    <w:basedOn w:val="729"/>
    <w:next w:val="892"/>
    <w:link w:val="729"/>
    <w:qFormat/>
    <w:rPr>
      <w:rFonts w:ascii="Arial" w:hAnsi="Arial" w:cs="Arial"/>
      <w:szCs w:val="21"/>
    </w:rPr>
  </w:style>
  <w:style w:type="paragraph" w:styleId="893">
    <w:name w:val="xl48"/>
    <w:basedOn w:val="729"/>
    <w:next w:val="893"/>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4">
    <w:name w:val="xl31"/>
    <w:basedOn w:val="729"/>
    <w:next w:val="894"/>
    <w:link w:val="7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5">
    <w:name w:val="xl53"/>
    <w:basedOn w:val="729"/>
    <w:next w:val="895"/>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6">
    <w:name w:val="Char Char Char"/>
    <w:basedOn w:val="729"/>
    <w:next w:val="896"/>
    <w:link w:val="729"/>
    <w:qFormat/>
    <w:rPr>
      <w:rFonts w:ascii="Tahoma" w:hAnsi="Tahoma"/>
      <w:sz w:val="24"/>
      <w:szCs w:val="20"/>
    </w:rPr>
  </w:style>
  <w:style w:type="paragraph" w:styleId="897">
    <w:name w:val="xl50"/>
    <w:basedOn w:val="729"/>
    <w:next w:val="897"/>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8">
    <w:name w:val="缺省文本"/>
    <w:basedOn w:val="729"/>
    <w:next w:val="898"/>
    <w:link w:val="729"/>
    <w:qFormat/>
    <w:pPr>
      <w:jc w:val="left"/>
    </w:pPr>
    <w:rPr>
      <w:sz w:val="24"/>
    </w:rPr>
  </w:style>
  <w:style w:type="paragraph" w:styleId="899">
    <w:name w:val="Char Char Char1"/>
    <w:basedOn w:val="729"/>
    <w:next w:val="899"/>
    <w:link w:val="729"/>
    <w:qFormat/>
    <w:rPr>
      <w:rFonts w:ascii="Tahoma" w:hAnsi="Tahoma"/>
      <w:sz w:val="24"/>
      <w:szCs w:val="20"/>
    </w:rPr>
  </w:style>
  <w:style w:type="paragraph" w:styleId="900">
    <w:name w:val="Char Char Char Char Char Char Char1"/>
    <w:basedOn w:val="729"/>
    <w:next w:val="900"/>
    <w:link w:val="729"/>
    <w:qFormat/>
    <w:pPr>
      <w:ind w:firstLine="200"/>
      <w:spacing w:line="360" w:lineRule="auto"/>
    </w:pPr>
    <w:rPr>
      <w:rFonts w:eastAsia="仿宋_GB2312"/>
      <w:sz w:val="24"/>
    </w:rPr>
  </w:style>
  <w:style w:type="paragraph" w:styleId="901">
    <w:name w:val="xl51"/>
    <w:basedOn w:val="729"/>
    <w:next w:val="901"/>
    <w:link w:val="7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2">
    <w:name w:val="样式2"/>
    <w:basedOn w:val="790"/>
    <w:next w:val="902"/>
    <w:link w:val="729"/>
    <w:qFormat/>
    <w:pPr>
      <w:jc w:val="center"/>
      <w:spacing w:line="360" w:lineRule="auto"/>
    </w:pPr>
    <w:rPr>
      <w:sz w:val="24"/>
    </w:rPr>
  </w:style>
  <w:style w:type="paragraph" w:styleId="903">
    <w:name w:val="xl24"/>
    <w:basedOn w:val="729"/>
    <w:next w:val="903"/>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4">
    <w:name w:val="xl29"/>
    <w:basedOn w:val="729"/>
    <w:next w:val="904"/>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5">
    <w:name w:val="正文 + 楷体_GB2312"/>
    <w:basedOn w:val="729"/>
    <w:next w:val="905"/>
    <w:link w:val="729"/>
    <w:qFormat/>
    <w:pPr>
      <w:jc w:val="left"/>
      <w:widowControl/>
    </w:pPr>
    <w:rPr>
      <w:rFonts w:ascii="楷体_GB2312" w:eastAsia="楷体_GB2312" w:cs="Arial"/>
      <w:sz w:val="24"/>
    </w:rPr>
  </w:style>
  <w:style w:type="paragraph" w:styleId="906">
    <w:name w:val="xl34"/>
    <w:basedOn w:val="729"/>
    <w:next w:val="906"/>
    <w:link w:val="7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7">
    <w:name w:val="1 Char Char Char Char"/>
    <w:basedOn w:val="729"/>
    <w:next w:val="907"/>
    <w:link w:val="729"/>
    <w:qFormat/>
    <w:rPr>
      <w:rFonts w:ascii="Tahoma" w:hAnsi="Tahoma"/>
      <w:sz w:val="24"/>
      <w:szCs w:val="20"/>
    </w:rPr>
  </w:style>
  <w:style w:type="paragraph" w:styleId="908">
    <w:name w:val="列出段落1"/>
    <w:basedOn w:val="729"/>
    <w:next w:val="908"/>
    <w:link w:val="729"/>
    <w:qFormat/>
    <w:pPr>
      <w:ind w:firstLine="420"/>
    </w:pPr>
    <w:rPr>
      <w:rFonts w:ascii="Calibri" w:hAnsi="Calibri"/>
      <w:szCs w:val="22"/>
    </w:rPr>
  </w:style>
  <w:style w:type="paragraph" w:styleId="909">
    <w:name w:val="default"/>
    <w:basedOn w:val="729"/>
    <w:next w:val="909"/>
    <w:link w:val="729"/>
    <w:qFormat/>
    <w:pPr>
      <w:jc w:val="left"/>
      <w:spacing w:before="100" w:beforeAutospacing="1" w:after="100" w:afterAutospacing="1"/>
      <w:widowControl/>
    </w:pPr>
    <w:rPr>
      <w:rFonts w:ascii="宋体" w:hAnsi="宋体" w:cs="宋体"/>
      <w:sz w:val="24"/>
    </w:rPr>
  </w:style>
  <w:style w:type="paragraph" w:styleId="910">
    <w:name w:val="字元 字元1"/>
    <w:basedOn w:val="729"/>
    <w:next w:val="910"/>
    <w:link w:val="729"/>
    <w:qFormat/>
    <w:rPr>
      <w:rFonts w:ascii="Tahoma" w:hAnsi="Tahoma"/>
      <w:sz w:val="24"/>
      <w:szCs w:val="20"/>
    </w:rPr>
  </w:style>
  <w:style w:type="paragraph" w:styleId="911">
    <w:name w:val="_Style 160"/>
    <w:next w:val="911"/>
    <w:link w:val="729"/>
    <w:qFormat/>
    <w:rPr>
      <w:sz w:val="21"/>
      <w:szCs w:val="24"/>
      <w:lang w:val="en-US" w:eastAsia="zh-CN" w:bidi="ar-SA"/>
    </w:rPr>
  </w:style>
  <w:style w:type="paragraph" w:styleId="912">
    <w:name w:val="项目编号3"/>
    <w:basedOn w:val="873"/>
    <w:next w:val="912"/>
    <w:link w:val="729"/>
    <w:qFormat/>
    <w:pPr>
      <w:numPr>
        <w:ilvl w:val="0"/>
        <w:numId w:val="6"/>
      </w:numPr>
    </w:pPr>
  </w:style>
  <w:style w:type="paragraph" w:styleId="913">
    <w:name w:val="Char21"/>
    <w:basedOn w:val="729"/>
    <w:next w:val="913"/>
    <w:link w:val="729"/>
    <w:qFormat/>
    <w:rPr>
      <w:rFonts w:ascii="Tahoma" w:hAnsi="Tahoma"/>
      <w:sz w:val="24"/>
      <w:szCs w:val="20"/>
    </w:rPr>
  </w:style>
  <w:style w:type="paragraph" w:styleId="914">
    <w:name w:val="表格文字"/>
    <w:basedOn w:val="763"/>
    <w:next w:val="914"/>
    <w:link w:val="729"/>
    <w:qFormat/>
    <w:pPr>
      <w:ind w:firstLine="0"/>
      <w:spacing w:before="20" w:after="20" w:line="240" w:lineRule="auto"/>
    </w:pPr>
    <w:rPr>
      <w:rFonts w:ascii="Century Gothic" w:hAnsi="Century Gothic"/>
      <w:sz w:val="20"/>
      <w:szCs w:val="20"/>
    </w:rPr>
  </w:style>
  <w:style w:type="paragraph" w:styleId="915">
    <w:name w:val="Char Char Char Char Char Char Char Char Char Char1"/>
    <w:basedOn w:val="729"/>
    <w:next w:val="915"/>
    <w:link w:val="729"/>
    <w:qFormat/>
    <w:rPr>
      <w:rFonts w:ascii="宋体" w:hAnsi="宋体" w:cs="Courier New"/>
      <w:sz w:val="32"/>
      <w:szCs w:val="32"/>
    </w:rPr>
  </w:style>
  <w:style w:type="paragraph" w:styleId="916">
    <w:name w:val="正文文本样式 加粗"/>
    <w:basedOn w:val="873"/>
    <w:next w:val="916"/>
    <w:link w:val="729"/>
    <w:qFormat/>
    <w:rPr>
      <w:b/>
    </w:rPr>
  </w:style>
  <w:style w:type="paragraph" w:styleId="917">
    <w:name w:val="Char2 Char Char Char Char Char Char"/>
    <w:basedOn w:val="729"/>
    <w:next w:val="917"/>
    <w:link w:val="729"/>
    <w:qFormat/>
    <w:pPr>
      <w:jc w:val="center"/>
      <w:spacing w:line="400" w:lineRule="exact"/>
      <w:widowControl/>
    </w:pPr>
  </w:style>
  <w:style w:type="paragraph" w:styleId="918">
    <w:name w:val="Char Char4"/>
    <w:basedOn w:val="729"/>
    <w:next w:val="918"/>
    <w:link w:val="729"/>
    <w:qFormat/>
    <w:pPr>
      <w:jc w:val="center"/>
      <w:spacing w:line="400" w:lineRule="exact"/>
      <w:widowControl/>
    </w:pPr>
  </w:style>
  <w:style w:type="paragraph" w:styleId="919">
    <w:name w:val="Char3 Char Char Char1"/>
    <w:basedOn w:val="729"/>
    <w:next w:val="919"/>
    <w:link w:val="729"/>
    <w:qFormat/>
    <w:rPr>
      <w:rFonts w:ascii="Tahoma" w:hAnsi="Tahoma"/>
      <w:sz w:val="24"/>
      <w:szCs w:val="20"/>
    </w:rPr>
  </w:style>
  <w:style w:type="paragraph" w:styleId="920">
    <w:name w:val="无间隔"/>
    <w:next w:val="920"/>
    <w:link w:val="729"/>
    <w:qFormat/>
    <w:pPr>
      <w:jc w:val="both"/>
      <w:widowControl w:val="off"/>
    </w:pPr>
    <w:rPr>
      <w:sz w:val="21"/>
      <w:szCs w:val="24"/>
      <w:lang w:val="en-US" w:eastAsia="zh-CN" w:bidi="ar-SA"/>
    </w:rPr>
  </w:style>
  <w:style w:type="paragraph" w:styleId="921">
    <w:name w:val="22222222222222"/>
    <w:basedOn w:val="729"/>
    <w:next w:val="921"/>
    <w:link w:val="729"/>
    <w:qFormat/>
    <w:pPr>
      <w:ind w:firstLine="480"/>
      <w:jc w:val="left"/>
      <w:spacing w:line="360" w:lineRule="auto"/>
      <w:widowControl/>
    </w:pPr>
    <w:rPr>
      <w:color w:val="ff0000"/>
      <w:sz w:val="24"/>
      <w:szCs w:val="20"/>
    </w:rPr>
  </w:style>
  <w:style w:type="character" w:styleId="922">
    <w:name w:val="中等深浅网格 1 - 强调文字颜色 2 Char"/>
    <w:next w:val="922"/>
    <w:link w:val="923"/>
    <w:qFormat/>
    <w:rPr>
      <w:sz w:val="21"/>
      <w:szCs w:val="24"/>
      <w:lang w:val="zh-CN" w:eastAsia="zh-CN" w:bidi="ar-SA"/>
    </w:rPr>
  </w:style>
  <w:style w:type="paragraph" w:styleId="923">
    <w:name w:val="1"/>
    <w:next w:val="923"/>
    <w:link w:val="922"/>
    <w:qFormat/>
    <w:rPr>
      <w:sz w:val="21"/>
      <w:szCs w:val="24"/>
      <w:lang w:val="zh-CN" w:eastAsia="zh-CN" w:bidi="ar-SA"/>
    </w:rPr>
  </w:style>
  <w:style w:type="paragraph" w:styleId="924">
    <w:name w:val="图文"/>
    <w:basedOn w:val="729"/>
    <w:next w:val="924"/>
    <w:link w:val="729"/>
    <w:qFormat/>
    <w:pPr>
      <w:spacing w:after="50" w:line="360" w:lineRule="auto"/>
    </w:pPr>
    <w:rPr>
      <w:sz w:val="24"/>
    </w:rPr>
  </w:style>
  <w:style w:type="paragraph" w:styleId="925">
    <w:name w:val="xl23"/>
    <w:basedOn w:val="729"/>
    <w:next w:val="925"/>
    <w:link w:val="729"/>
    <w:qFormat/>
    <w:pPr>
      <w:spacing w:before="100" w:beforeAutospacing="1" w:after="100" w:afterAutospacing="1" w:line="360" w:lineRule="auto"/>
      <w:widowControl/>
    </w:pPr>
    <w:rPr>
      <w:sz w:val="24"/>
      <w:szCs w:val="20"/>
    </w:rPr>
  </w:style>
  <w:style w:type="paragraph" w:styleId="926">
    <w:name w:val="正文表格"/>
    <w:basedOn w:val="729"/>
    <w:next w:val="926"/>
    <w:link w:val="927"/>
    <w:qFormat/>
    <w:pPr>
      <w:jc w:val="left"/>
    </w:pPr>
    <w:rPr>
      <w:rFonts w:ascii="宋体" w:hAnsi="宋体"/>
      <w:color w:val="000000"/>
      <w:szCs w:val="21"/>
    </w:rPr>
  </w:style>
  <w:style w:type="character" w:styleId="927">
    <w:name w:val="正文表格 Char"/>
    <w:next w:val="927"/>
    <w:link w:val="926"/>
    <w:qFormat/>
    <w:rPr>
      <w:rFonts w:ascii="宋体" w:hAnsi="宋体"/>
      <w:color w:val="000000"/>
      <w:sz w:val="21"/>
      <w:szCs w:val="21"/>
    </w:rPr>
  </w:style>
  <w:style w:type="paragraph" w:styleId="928">
    <w:name w:val="正文重点"/>
    <w:basedOn w:val="729"/>
    <w:next w:val="928"/>
    <w:link w:val="929"/>
    <w:qFormat/>
    <w:pPr>
      <w:ind w:firstLine="482"/>
      <w:jc w:val="left"/>
      <w:spacing w:line="360" w:lineRule="auto"/>
    </w:pPr>
    <w:rPr>
      <w:b/>
      <w:sz w:val="24"/>
      <w:szCs w:val="20"/>
    </w:rPr>
  </w:style>
  <w:style w:type="character" w:styleId="929">
    <w:name w:val="正文重点 Char"/>
    <w:next w:val="929"/>
    <w:link w:val="928"/>
    <w:qFormat/>
    <w:rPr>
      <w:b/>
      <w:sz w:val="24"/>
    </w:rPr>
  </w:style>
  <w:style w:type="paragraph" w:styleId="930">
    <w:name w:val="标题1-附件"/>
    <w:basedOn w:val="730"/>
    <w:next w:val="930"/>
    <w:link w:val="729"/>
    <w:qFormat/>
    <w:pPr>
      <w:jc w:val="left"/>
    </w:pPr>
    <w:rPr>
      <w:sz w:val="24"/>
      <w:szCs w:val="24"/>
    </w:rPr>
  </w:style>
  <w:style w:type="paragraph" w:styleId="931">
    <w:name w:val="正文小标题"/>
    <w:basedOn w:val="729"/>
    <w:next w:val="744"/>
    <w:link w:val="932"/>
    <w:qFormat/>
    <w:pPr>
      <w:ind w:firstLine="482"/>
      <w:jc w:val="left"/>
      <w:spacing w:before="312" w:after="312"/>
    </w:pPr>
    <w:rPr>
      <w:rFonts w:ascii="宋体" w:hAnsi="宋体"/>
      <w:b/>
      <w:i/>
      <w:color w:val="ff0000"/>
      <w:sz w:val="24"/>
      <w:szCs w:val="20"/>
    </w:rPr>
  </w:style>
  <w:style w:type="character" w:styleId="932">
    <w:name w:val="正文小标题 Char"/>
    <w:next w:val="932"/>
    <w:link w:val="931"/>
    <w:qFormat/>
    <w:rPr>
      <w:rFonts w:ascii="宋体" w:hAnsi="宋体"/>
      <w:b/>
      <w:i/>
      <w:color w:val="ff0000"/>
      <w:sz w:val="24"/>
    </w:rPr>
  </w:style>
  <w:style w:type="paragraph" w:styleId="933">
    <w:name w:val="正文大标题"/>
    <w:basedOn w:val="931"/>
    <w:next w:val="744"/>
    <w:link w:val="934"/>
    <w:qFormat/>
    <w:pPr>
      <w:jc w:val="center"/>
    </w:pPr>
    <w:rPr>
      <w:i w:val="0"/>
      <w:color w:val="000000"/>
      <w:sz w:val="28"/>
      <w:szCs w:val="21"/>
    </w:rPr>
  </w:style>
  <w:style w:type="character" w:styleId="934">
    <w:name w:val="正文大标题 Char"/>
    <w:next w:val="934"/>
    <w:link w:val="933"/>
    <w:qFormat/>
    <w:rPr>
      <w:rFonts w:ascii="宋体" w:hAnsi="宋体"/>
      <w:b/>
      <w:color w:val="000000"/>
      <w:sz w:val="28"/>
      <w:szCs w:val="21"/>
    </w:rPr>
  </w:style>
  <w:style w:type="paragraph" w:styleId="935">
    <w:name w:val="注释"/>
    <w:basedOn w:val="729"/>
    <w:next w:val="935"/>
    <w:link w:val="936"/>
    <w:qFormat/>
    <w:pPr>
      <w:ind w:left="420" w:hanging="420"/>
      <w:jc w:val="left"/>
    </w:pPr>
    <w:rPr>
      <w:rFonts w:ascii="宋体" w:hAnsi="宋体"/>
      <w:szCs w:val="21"/>
    </w:rPr>
  </w:style>
  <w:style w:type="character" w:styleId="936">
    <w:name w:val="注释 Char"/>
    <w:next w:val="936"/>
    <w:link w:val="935"/>
    <w:qFormat/>
    <w:rPr>
      <w:rFonts w:ascii="宋体" w:hAnsi="宋体"/>
      <w:sz w:val="21"/>
      <w:szCs w:val="21"/>
    </w:rPr>
  </w:style>
  <w:style w:type="paragraph" w:styleId="937">
    <w:name w:val="正文须知-1级"/>
    <w:basedOn w:val="729"/>
    <w:next w:val="729"/>
    <w:link w:val="729"/>
    <w:qFormat/>
    <w:pPr>
      <w:numPr>
        <w:ilvl w:val="0"/>
        <w:numId w:val="7"/>
      </w:numPr>
      <w:spacing w:line="300" w:lineRule="auto"/>
    </w:pPr>
    <w:rPr>
      <w:rFonts w:ascii="宋体" w:hAnsi="Calibri"/>
      <w:sz w:val="24"/>
      <w:szCs w:val="21"/>
    </w:rPr>
  </w:style>
  <w:style w:type="paragraph" w:styleId="938">
    <w:name w:val="正文须知-2级"/>
    <w:basedOn w:val="729"/>
    <w:next w:val="938"/>
    <w:link w:val="729"/>
    <w:qFormat/>
    <w:pPr>
      <w:numPr>
        <w:ilvl w:val="1"/>
        <w:numId w:val="7"/>
      </w:numPr>
      <w:spacing w:line="300" w:lineRule="auto"/>
    </w:pPr>
    <w:rPr>
      <w:rFonts w:ascii="宋体" w:hAnsi="Calibri"/>
      <w:sz w:val="24"/>
      <w:szCs w:val="21"/>
    </w:rPr>
  </w:style>
  <w:style w:type="paragraph" w:styleId="939">
    <w:name w:val="正文须知-3级"/>
    <w:basedOn w:val="729"/>
    <w:next w:val="939"/>
    <w:link w:val="729"/>
    <w:qFormat/>
    <w:pPr>
      <w:numPr>
        <w:ilvl w:val="2"/>
        <w:numId w:val="7"/>
      </w:numPr>
      <w:ind w:hanging="355"/>
      <w:spacing w:line="300" w:lineRule="auto"/>
    </w:pPr>
    <w:rPr>
      <w:rFonts w:ascii="宋体" w:hAnsi="Calibri"/>
      <w:sz w:val="24"/>
      <w:szCs w:val="21"/>
    </w:rPr>
  </w:style>
  <w:style w:type="character" w:styleId="940">
    <w:name w:val="纯文本 字符"/>
    <w:next w:val="940"/>
    <w:link w:val="729"/>
    <w:uiPriority w:val="99"/>
    <w:qFormat/>
    <w:rPr>
      <w:rFonts w:ascii="宋体" w:hAnsi="Courier New" w:eastAsia="宋体" w:cs="Times New Roman"/>
      <w:sz w:val="21"/>
      <w:szCs w:val="21"/>
      <w:lang w:val="en-US" w:eastAsia="zh-CN" w:bidi="ar-SA"/>
    </w:rPr>
  </w:style>
  <w:style w:type="paragraph" w:styleId="941">
    <w:name w:val="表格1"/>
    <w:basedOn w:val="729"/>
    <w:next w:val="941"/>
    <w:link w:val="729"/>
    <w:qFormat/>
    <w:pPr>
      <w:ind w:firstLine="480"/>
      <w:jc w:val="center"/>
    </w:pPr>
    <w:rPr>
      <w:sz w:val="24"/>
      <w:szCs w:val="20"/>
    </w:rPr>
  </w:style>
  <w:style w:type="character" w:styleId="942">
    <w:name w:val="纯文本 字符1"/>
    <w:next w:val="942"/>
    <w:link w:val="729"/>
    <w:qFormat/>
    <w:rPr>
      <w:rFonts w:ascii="宋体" w:hAnsi="Courier New"/>
    </w:rPr>
  </w:style>
  <w:style w:type="character" w:styleId="943">
    <w:name w:val="bjh-p"/>
    <w:next w:val="943"/>
    <w:link w:val="729"/>
    <w:qFormat/>
  </w:style>
  <w:style w:type="paragraph" w:styleId="944">
    <w:name w:val="无标题条"/>
    <w:next w:val="729"/>
    <w:link w:val="729"/>
    <w:qFormat/>
    <w:pPr>
      <w:jc w:val="both"/>
    </w:pPr>
    <w:rPr>
      <w:sz w:val="21"/>
      <w:lang w:val="en-US" w:eastAsia="zh-CN" w:bidi="ar-SA"/>
    </w:rPr>
  </w:style>
  <w:style w:type="character" w:styleId="945">
    <w:name w:val="正文格式 Char"/>
    <w:next w:val="945"/>
    <w:link w:val="946"/>
    <w:qFormat/>
    <w:rPr>
      <w:rFonts w:ascii="宋体" w:hAnsi="宋体"/>
      <w:sz w:val="24"/>
      <w:szCs w:val="24"/>
      <w:lang w:val="en-GB"/>
    </w:rPr>
  </w:style>
  <w:style w:type="paragraph" w:styleId="946">
    <w:name w:val="正文格式"/>
    <w:basedOn w:val="729"/>
    <w:next w:val="946"/>
    <w:link w:val="945"/>
    <w:qFormat/>
    <w:pPr>
      <w:ind w:firstLine="480"/>
      <w:spacing w:line="360" w:lineRule="auto"/>
    </w:pPr>
    <w:rPr>
      <w:rFonts w:ascii="宋体" w:hAnsi="宋体"/>
      <w:sz w:val="24"/>
      <w:lang w:val="en-GB"/>
    </w:rPr>
  </w:style>
  <w:style w:type="character" w:styleId="947">
    <w:name w:val="标题 3 Char"/>
    <w:next w:val="947"/>
    <w:link w:val="729"/>
    <w:qFormat/>
    <w:rPr>
      <w:rFonts w:ascii="宋体" w:eastAsia="宋体"/>
      <w:b/>
      <w:sz w:val="24"/>
      <w:u w:val="single"/>
      <w:lang w:val="en-US" w:eastAsia="zh-CN" w:bidi="ar-SA"/>
    </w:rPr>
  </w:style>
  <w:style w:type="character" w:styleId="948">
    <w:name w:val="正文缩进 Char"/>
    <w:next w:val="948"/>
    <w:link w:val="729"/>
    <w:qFormat/>
    <w:rPr>
      <w:rFonts w:ascii="宋体" w:eastAsia="宋体"/>
      <w:sz w:val="24"/>
      <w:szCs w:val="24"/>
      <w:lang w:val="en-US" w:eastAsia="zh-CN" w:bidi="ar-SA"/>
    </w:rPr>
  </w:style>
  <w:style w:type="character" w:styleId="949">
    <w:name w:val="Char Char111"/>
    <w:next w:val="949"/>
    <w:link w:val="729"/>
    <w:qFormat/>
    <w:rPr>
      <w:rFonts w:ascii="宋体" w:eastAsia="宋体"/>
      <w:b/>
      <w:sz w:val="24"/>
      <w:u w:val="single"/>
      <w:lang w:val="en-US" w:eastAsia="zh-CN" w:bidi="ar-SA"/>
    </w:rPr>
  </w:style>
  <w:style w:type="character" w:styleId="950">
    <w:name w:val="正文文本缩进 Char"/>
    <w:next w:val="950"/>
    <w:link w:val="729"/>
    <w:qFormat/>
    <w:rPr>
      <w:rFonts w:eastAsia="宋体"/>
      <w:sz w:val="24"/>
      <w:szCs w:val="24"/>
      <w:lang w:val="en-US" w:eastAsia="zh-CN" w:bidi="ar-SA"/>
    </w:rPr>
  </w:style>
  <w:style w:type="character" w:styleId="951">
    <w:name w:val="列出段落 Char"/>
    <w:next w:val="951"/>
    <w:link w:val="729"/>
    <w:qFormat/>
    <w:rPr>
      <w:rFonts w:ascii="Calibri" w:hAnsi="Calibri" w:eastAsia="宋体"/>
      <w:sz w:val="21"/>
      <w:szCs w:val="22"/>
      <w:lang w:val="en-US" w:eastAsia="zh-CN" w:bidi="ar-SA"/>
    </w:rPr>
  </w:style>
  <w:style w:type="character" w:styleId="952">
    <w:name w:val="页眉 Char"/>
    <w:next w:val="952"/>
    <w:link w:val="729"/>
    <w:qFormat/>
    <w:rPr>
      <w:rFonts w:eastAsia="宋体"/>
      <w:sz w:val="18"/>
      <w:szCs w:val="18"/>
      <w:lang w:val="en-US" w:eastAsia="zh-CN" w:bidi="ar-SA"/>
    </w:rPr>
  </w:style>
  <w:style w:type="character" w:styleId="953">
    <w:name w:val="标题 2 Char"/>
    <w:next w:val="953"/>
    <w:link w:val="729"/>
    <w:qFormat/>
    <w:rPr>
      <w:rFonts w:ascii="Arial" w:hAnsi="Arial" w:eastAsia="黑体"/>
      <w:b/>
      <w:sz w:val="30"/>
      <w:lang w:val="en-US" w:eastAsia="zh-CN" w:bidi="ar-SA"/>
    </w:rPr>
  </w:style>
  <w:style w:type="paragraph" w:styleId="954">
    <w:name w:val="字元 字元2"/>
    <w:basedOn w:val="729"/>
    <w:next w:val="954"/>
    <w:link w:val="729"/>
    <w:qFormat/>
    <w:rPr>
      <w:rFonts w:ascii="Tahoma" w:hAnsi="Tahoma"/>
      <w:sz w:val="24"/>
      <w:szCs w:val="20"/>
    </w:rPr>
  </w:style>
  <w:style w:type="paragraph" w:styleId="955">
    <w:name w:val="Char3 Char Char Char2"/>
    <w:basedOn w:val="729"/>
    <w:next w:val="955"/>
    <w:link w:val="729"/>
    <w:qFormat/>
    <w:rPr>
      <w:rFonts w:ascii="Tahoma" w:hAnsi="Tahoma"/>
      <w:sz w:val="24"/>
      <w:szCs w:val="20"/>
    </w:rPr>
  </w:style>
  <w:style w:type="paragraph" w:styleId="956">
    <w:name w:val="正文文本缩进2"/>
    <w:basedOn w:val="729"/>
    <w:next w:val="956"/>
    <w:link w:val="729"/>
    <w:qFormat/>
    <w:pPr>
      <w:ind w:firstLine="480"/>
      <w:spacing w:line="480" w:lineRule="exact"/>
    </w:pPr>
    <w:rPr>
      <w:rFonts w:ascii="宋体" w:hAnsi="宋体"/>
      <w:sz w:val="24"/>
      <w:lang w:val="zh-CN" w:eastAsia="zh-CN"/>
    </w:rPr>
  </w:style>
  <w:style w:type="paragraph" w:styleId="957">
    <w:name w:val="Char3"/>
    <w:basedOn w:val="729"/>
    <w:next w:val="957"/>
    <w:link w:val="729"/>
    <w:qFormat/>
    <w:pPr>
      <w:tabs>
        <w:tab w:val="left" w:pos="360" w:leader="none"/>
      </w:tabs>
    </w:pPr>
    <w:rPr>
      <w:sz w:val="24"/>
    </w:rPr>
  </w:style>
  <w:style w:type="paragraph" w:styleId="958">
    <w:name w:val="Char Char Char Char Char Char Char Char Char Char Char Char Char Char Char Char1"/>
    <w:basedOn w:val="729"/>
    <w:next w:val="958"/>
    <w:link w:val="729"/>
    <w:qFormat/>
    <w:pPr>
      <w:jc w:val="center"/>
      <w:spacing w:after="160" w:line="240" w:lineRule="exact"/>
      <w:widowControl/>
    </w:pPr>
    <w:rPr>
      <w:rFonts w:ascii="宋体" w:hAnsi="宋体"/>
      <w:b/>
      <w:sz w:val="30"/>
      <w:szCs w:val="30"/>
      <w:lang w:eastAsia="en-US"/>
    </w:rPr>
  </w:style>
  <w:style w:type="paragraph" w:styleId="959">
    <w:name w:val="Char Char1 Char Char Char Char Char Char1"/>
    <w:basedOn w:val="729"/>
    <w:next w:val="959"/>
    <w:link w:val="729"/>
    <w:qFormat/>
    <w:pPr>
      <w:jc w:val="left"/>
      <w:spacing w:after="160" w:line="240" w:lineRule="exact"/>
      <w:widowControl/>
    </w:pPr>
    <w:rPr>
      <w:rFonts w:ascii="Verdana" w:hAnsi="Verdana" w:eastAsia="仿宋_GB2312"/>
      <w:sz w:val="24"/>
      <w:szCs w:val="20"/>
      <w:lang w:eastAsia="en-US"/>
    </w:rPr>
  </w:style>
  <w:style w:type="paragraph" w:styleId="960">
    <w:name w:val="列出段落2"/>
    <w:basedOn w:val="729"/>
    <w:next w:val="960"/>
    <w:link w:val="729"/>
    <w:qFormat/>
    <w:pPr>
      <w:ind w:firstLine="420"/>
    </w:pPr>
    <w:rPr>
      <w:rFonts w:ascii="Calibri" w:hAnsi="Calibri"/>
      <w:szCs w:val="22"/>
    </w:rPr>
  </w:style>
  <w:style w:type="paragraph" w:styleId="961">
    <w:name w:val="Char Char Char1 Char2"/>
    <w:basedOn w:val="729"/>
    <w:next w:val="961"/>
    <w:link w:val="729"/>
    <w:qFormat/>
    <w:rPr>
      <w:rFonts w:ascii="Tahoma" w:hAnsi="Tahoma"/>
      <w:sz w:val="24"/>
      <w:szCs w:val="20"/>
    </w:rPr>
  </w:style>
  <w:style w:type="paragraph" w:styleId="962">
    <w:name w:val="Char Char Char2"/>
    <w:basedOn w:val="729"/>
    <w:next w:val="962"/>
    <w:link w:val="729"/>
    <w:qFormat/>
    <w:rPr>
      <w:rFonts w:ascii="Tahoma" w:hAnsi="Tahoma"/>
      <w:sz w:val="24"/>
      <w:szCs w:val="20"/>
    </w:rPr>
  </w:style>
  <w:style w:type="paragraph" w:styleId="963">
    <w:name w:val="Char Char Char Char Char Char Char2"/>
    <w:basedOn w:val="729"/>
    <w:next w:val="963"/>
    <w:link w:val="729"/>
    <w:qFormat/>
    <w:pPr>
      <w:ind w:firstLine="200"/>
      <w:spacing w:line="360" w:lineRule="auto"/>
    </w:pPr>
    <w:rPr>
      <w:rFonts w:eastAsia="仿宋_GB2312"/>
      <w:sz w:val="24"/>
    </w:rPr>
  </w:style>
  <w:style w:type="paragraph" w:styleId="964">
    <w:name w:val="正文缩进2"/>
    <w:basedOn w:val="729"/>
    <w:next w:val="964"/>
    <w:link w:val="729"/>
    <w:qFormat/>
    <w:pPr>
      <w:ind w:firstLine="567"/>
      <w:spacing w:line="480" w:lineRule="exact"/>
      <w:widowControl/>
    </w:pPr>
    <w:rPr>
      <w:rFonts w:ascii="宋体"/>
      <w:color w:val="000000"/>
      <w:sz w:val="28"/>
      <w:szCs w:val="20"/>
      <w:lang w:val="zh-CN" w:eastAsia="zh-CN"/>
    </w:rPr>
  </w:style>
  <w:style w:type="paragraph" w:styleId="965">
    <w:name w:val="Revision"/>
    <w:next w:val="965"/>
    <w:link w:val="729"/>
    <w:qFormat/>
    <w:rPr>
      <w:sz w:val="21"/>
      <w:szCs w:val="24"/>
      <w:lang w:val="en-US" w:eastAsia="zh-CN" w:bidi="ar-SA"/>
    </w:rPr>
  </w:style>
  <w:style w:type="paragraph" w:styleId="966">
    <w:name w:val="Char22"/>
    <w:basedOn w:val="729"/>
    <w:next w:val="966"/>
    <w:link w:val="729"/>
    <w:qFormat/>
    <w:rPr>
      <w:rFonts w:ascii="Tahoma" w:hAnsi="Tahoma"/>
      <w:sz w:val="24"/>
      <w:szCs w:val="20"/>
    </w:rPr>
  </w:style>
  <w:style w:type="paragraph" w:styleId="967">
    <w:name w:val="Char Char Char Char Char Char Char Char Char Char2"/>
    <w:basedOn w:val="729"/>
    <w:next w:val="967"/>
    <w:link w:val="729"/>
    <w:qFormat/>
    <w:rPr>
      <w:rFonts w:ascii="宋体" w:hAnsi="宋体" w:cs="Courier New"/>
      <w:sz w:val="32"/>
      <w:szCs w:val="32"/>
    </w:rPr>
  </w:style>
  <w:style w:type="paragraph" w:styleId="968">
    <w:name w:val="Char2 Char Char Char Char Char Char1"/>
    <w:basedOn w:val="729"/>
    <w:next w:val="968"/>
    <w:link w:val="729"/>
    <w:qFormat/>
    <w:pPr>
      <w:jc w:val="center"/>
      <w:spacing w:line="400" w:lineRule="exact"/>
      <w:widowControl/>
    </w:pPr>
  </w:style>
  <w:style w:type="character" w:styleId="969">
    <w:name w:val="页脚 Char"/>
    <w:next w:val="969"/>
    <w:link w:val="729"/>
    <w:qFormat/>
    <w:rPr>
      <w:rFonts w:ascii="宋体" w:eastAsia="宋体"/>
      <w:sz w:val="18"/>
      <w:lang w:val="en-US" w:eastAsia="zh-CN" w:bidi="ar-SA"/>
    </w:rPr>
  </w:style>
  <w:style w:type="paragraph" w:styleId="970">
    <w:name w:val="Char Char41"/>
    <w:basedOn w:val="729"/>
    <w:next w:val="970"/>
    <w:link w:val="729"/>
    <w:qFormat/>
    <w:pPr>
      <w:jc w:val="center"/>
      <w:spacing w:line="400" w:lineRule="exact"/>
      <w:widowControl/>
    </w:pPr>
  </w:style>
  <w:style w:type="character" w:styleId="971">
    <w:name w:val="批注文字 Char"/>
    <w:next w:val="971"/>
    <w:link w:val="729"/>
    <w:uiPriority w:val="99"/>
    <w:qFormat/>
    <w:rPr>
      <w:sz w:val="21"/>
      <w:szCs w:val="24"/>
    </w:rPr>
  </w:style>
  <w:style w:type="character" w:styleId="972">
    <w:name w:val="标题 Char"/>
    <w:next w:val="972"/>
    <w:link w:val="729"/>
    <w:qFormat/>
    <w:rPr>
      <w:b/>
      <w:sz w:val="32"/>
    </w:rPr>
  </w:style>
  <w:style w:type="paragraph" w:styleId="973">
    <w:name w:val="图例"/>
    <w:basedOn w:val="729"/>
    <w:next w:val="973"/>
    <w:link w:val="729"/>
    <w:qFormat/>
    <w:pPr>
      <w:jc w:val="center"/>
      <w:spacing w:before="120" w:after="120" w:line="360" w:lineRule="auto"/>
    </w:pPr>
    <w:rPr>
      <w:rFonts w:eastAsia="仿宋_GB2312"/>
      <w:b/>
      <w:sz w:val="24"/>
      <w:szCs w:val="20"/>
    </w:rPr>
  </w:style>
  <w:style w:type="table" w:styleId="974">
    <w:name w:val="Table Normal"/>
    <w:next w:val="974"/>
    <w:link w:val="729"/>
    <w:unhideWhenUsed/>
    <w:qFormat/>
    <w:pPr>
      <w:widowControl w:val="off"/>
    </w:pPr>
    <w:rPr>
      <w:rFonts w:ascii="Calibri" w:hAnsi="Calibri"/>
      <w:sz w:val="22"/>
      <w:szCs w:val="22"/>
      <w:lang w:val="en-US" w:eastAsia="en-US" w:bidi="ar-SA"/>
    </w:rPr>
    <w:tblPr/>
  </w:style>
  <w:style w:type="paragraph" w:styleId="975">
    <w:name w:val="Table Paragraph"/>
    <w:basedOn w:val="729"/>
    <w:next w:val="975"/>
    <w:link w:val="729"/>
    <w:uiPriority w:val="1"/>
    <w:qFormat/>
    <w:pPr>
      <w:jc w:val="left"/>
    </w:pPr>
    <w:rPr>
      <w:rFonts w:ascii="宋体" w:hAnsi="宋体" w:cs="宋体"/>
      <w:sz w:val="22"/>
      <w:szCs w:val="22"/>
      <w:lang w:eastAsia="en-US"/>
    </w:rPr>
  </w:style>
  <w:style w:type="paragraph" w:styleId="976">
    <w:name w:val="成文日期"/>
    <w:basedOn w:val="729"/>
    <w:next w:val="976"/>
    <w:link w:val="977"/>
    <w:qFormat/>
    <w:pPr>
      <w:ind w:right="400" w:firstLine="200"/>
      <w:jc w:val="right"/>
      <w:spacing w:line="570" w:lineRule="exact"/>
    </w:pPr>
    <w:rPr>
      <w:rFonts w:ascii="仿宋_GB2312" w:eastAsia="仿宋_GB2312"/>
      <w:sz w:val="32"/>
      <w:szCs w:val="20"/>
    </w:rPr>
  </w:style>
  <w:style w:type="character" w:styleId="977">
    <w:name w:val="成文日期 Char"/>
    <w:next w:val="977"/>
    <w:link w:val="976"/>
    <w:qFormat/>
    <w:rPr>
      <w:rFonts w:ascii="仿宋_GB2312" w:eastAsia="仿宋_GB2312"/>
      <w:sz w:val="32"/>
    </w:rPr>
  </w:style>
  <w:style w:type="paragraph" w:styleId="978">
    <w:name w:val="修订"/>
    <w:next w:val="978"/>
    <w:link w:val="729"/>
    <w:uiPriority w:val="99"/>
    <w:unhideWhenUsed/>
    <w:rPr>
      <w:sz w:val="21"/>
      <w:szCs w:val="24"/>
      <w:lang w:val="en-US" w:eastAsia="zh-CN" w:bidi="ar-SA"/>
    </w:rPr>
  </w:style>
  <w:style w:type="paragraph" w:styleId="979">
    <w:name w:val="正文1"/>
    <w:basedOn w:val="729"/>
    <w:next w:val="979"/>
    <w:link w:val="729"/>
    <w:qFormat/>
    <w:pPr>
      <w:contextualSpacing/>
      <w:ind w:firstLine="200"/>
      <w:jc w:val="left"/>
      <w:spacing w:before="120" w:after="120"/>
      <w:widowControl/>
    </w:pPr>
    <w:rPr>
      <w:rFonts w:ascii="Calibri" w:hAnsi="Calibri" w:eastAsia="Adobe 仿宋 Std R"/>
      <w:sz w:val="20"/>
      <w:szCs w:val="21"/>
    </w:rPr>
  </w:style>
  <w:style w:type="character" w:styleId="980">
    <w:name w:val="材料标题 Char"/>
    <w:next w:val="980"/>
    <w:link w:val="981"/>
    <w:qFormat/>
    <w:rPr>
      <w:rFonts w:ascii="方正小标宋简体" w:eastAsia="方正小标宋简体"/>
      <w:color w:val="000000"/>
      <w:sz w:val="44"/>
      <w:szCs w:val="44"/>
    </w:rPr>
  </w:style>
  <w:style w:type="paragraph" w:styleId="981">
    <w:name w:val="材料标题"/>
    <w:basedOn w:val="729"/>
    <w:next w:val="981"/>
    <w:link w:val="980"/>
    <w:qFormat/>
    <w:pPr>
      <w:jc w:val="center"/>
      <w:spacing w:line="700" w:lineRule="exact"/>
    </w:pPr>
    <w:rPr>
      <w:rFonts w:ascii="方正小标宋简体" w:eastAsia="方正小标宋简体"/>
      <w:color w:val="000000"/>
      <w:sz w:val="44"/>
      <w:szCs w:val="44"/>
    </w:rPr>
  </w:style>
  <w:style w:type="character" w:styleId="982">
    <w:name w:val="未处理的提及"/>
    <w:next w:val="982"/>
    <w:link w:val="729"/>
    <w:uiPriority w:val="99"/>
    <w:unhideWhenUsed/>
    <w:rPr>
      <w:color w:val="605e5c"/>
      <w:shd w:val="clear" w:color="auto" w:fill="e1dfdd"/>
    </w:rPr>
  </w:style>
  <w:style w:type="character" w:styleId="983">
    <w:name w:val="grame"/>
    <w:next w:val="983"/>
    <w:link w:val="729"/>
  </w:style>
  <w:style w:type="character" w:styleId="984">
    <w:name w:val="标题 2 字符"/>
    <w:next w:val="984"/>
    <w:link w:val="729"/>
    <w:qFormat/>
    <w:rPr>
      <w:rFonts w:ascii="Arial" w:hAnsi="Arial" w:eastAsia="黑体"/>
      <w:b/>
      <w:sz w:val="30"/>
    </w:rPr>
  </w:style>
  <w:style w:type="character" w:styleId="985">
    <w:name w:val="页脚 字符"/>
    <w:next w:val="985"/>
    <w:link w:val="729"/>
    <w:uiPriority w:val="99"/>
    <w:qFormat/>
    <w:rPr>
      <w:rFonts w:ascii="宋体"/>
      <w:sz w:val="18"/>
    </w:rPr>
  </w:style>
  <w:style w:type="character" w:styleId="986">
    <w:name w:val="正文文本 字符"/>
    <w:next w:val="986"/>
    <w:link w:val="729"/>
    <w:qFormat/>
    <w:rPr>
      <w:rFonts w:ascii="宋体" w:hAnsi="宋体" w:eastAsia="宋体" w:cs="Times New Roman"/>
      <w:sz w:val="24"/>
      <w:szCs w:val="24"/>
    </w:rPr>
  </w:style>
  <w:style w:type="table" w:styleId="987">
    <w:name w:val="Table Normal1"/>
    <w:next w:val="987"/>
    <w:link w:val="729"/>
    <w:unhideWhenUsed/>
    <w:qFormat/>
    <w:rPr>
      <w:rFonts w:ascii="Arial" w:hAnsi="Arial" w:eastAsia="等线" w:cs="Arial"/>
      <w:color w:val="000000"/>
      <w:sz w:val="21"/>
      <w:szCs w:val="21"/>
      <w:lang w:val="en-US" w:eastAsia="en-US" w:bidi="ar-SA"/>
    </w:rPr>
    <w:tblPr/>
  </w:style>
  <w:style w:type="paragraph" w:styleId="988">
    <w:name w:val="正文文本首行缩进 21"/>
    <w:next w:val="988"/>
    <w:link w:val="729"/>
    <w:qFormat/>
    <w:pPr>
      <w:ind w:left="420" w:firstLine="420"/>
      <w:jc w:val="both"/>
      <w:spacing w:after="120" w:line="480" w:lineRule="exact"/>
      <w:widowControl w:val="off"/>
    </w:pPr>
    <w:rPr>
      <w:sz w:val="24"/>
      <w:szCs w:val="24"/>
      <w:lang w:val="en-US" w:eastAsia="zh-CN" w:bidi="ar-SA"/>
    </w:rPr>
  </w:style>
  <w:style w:type="paragraph" w:styleId="989">
    <w:name w:val="列表段落1"/>
    <w:next w:val="989"/>
    <w:link w:val="729"/>
    <w:uiPriority w:val="99"/>
    <w:qFormat/>
    <w:pPr>
      <w:ind w:firstLine="420"/>
      <w:jc w:val="both"/>
      <w:widowControl w:val="off"/>
    </w:pPr>
    <w:rPr>
      <w:rFonts w:ascii="Calibri" w:hAnsi="Calibri"/>
      <w:sz w:val="21"/>
      <w:szCs w:val="22"/>
      <w:lang w:val="en-US" w:eastAsia="zh-CN" w:bidi="ar-SA"/>
    </w:rPr>
  </w:style>
  <w:style w:type="character" w:styleId="19765" w:default="1">
    <w:name w:val="Default Paragraph Font"/>
    <w:uiPriority w:val="1"/>
    <w:semiHidden/>
    <w:unhideWhenUsed/>
  </w:style>
  <w:style w:type="numbering" w:styleId="19766" w:default="1">
    <w:name w:val="No List"/>
    <w:uiPriority w:val="99"/>
    <w:semiHidden/>
    <w:unhideWhenUsed/>
  </w:style>
  <w:style w:type="table" w:styleId="197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王镜</cp:lastModifiedBy>
  <cp:revision>181</cp:revision>
  <dcterms:created xsi:type="dcterms:W3CDTF">2024-09-22T15:44:00Z</dcterms:created>
  <dcterms:modified xsi:type="dcterms:W3CDTF">2025-10-15T05:06:01Z</dcterms:modified>
  <cp:version>1048576</cp:version>
</cp:coreProperties>
</file>